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7B57A" w14:textId="23883DC5" w:rsidR="004331F0" w:rsidRPr="00CF77C7" w:rsidRDefault="00CF77C7">
      <w:pPr>
        <w:rPr>
          <w:rFonts w:ascii="Arial" w:hAnsi="Arial" w:cs="Arial"/>
          <w:b/>
          <w:bCs/>
          <w:u w:val="single"/>
        </w:rPr>
      </w:pPr>
      <w:r w:rsidRPr="00CF77C7">
        <w:rPr>
          <w:rFonts w:ascii="Arial" w:hAnsi="Arial" w:cs="Arial"/>
          <w:b/>
          <w:bCs/>
          <w:u w:val="single"/>
        </w:rPr>
        <w:t xml:space="preserve">Sustainability </w:t>
      </w:r>
      <w:r>
        <w:rPr>
          <w:rFonts w:ascii="Arial" w:hAnsi="Arial" w:cs="Arial"/>
          <w:b/>
          <w:bCs/>
          <w:u w:val="single"/>
        </w:rPr>
        <w:t xml:space="preserve">Report </w:t>
      </w:r>
      <w:r w:rsidRPr="00CF77C7">
        <w:rPr>
          <w:rFonts w:ascii="Arial" w:hAnsi="Arial" w:cs="Arial"/>
          <w:b/>
          <w:bCs/>
          <w:u w:val="single"/>
        </w:rPr>
        <w:t xml:space="preserve">Talking Points </w:t>
      </w:r>
    </w:p>
    <w:p w14:paraId="0D855DE7" w14:textId="4E22B19F" w:rsidR="00CF77C7" w:rsidRDefault="00CF77C7">
      <w:pPr>
        <w:rPr>
          <w:rFonts w:ascii="Arial" w:hAnsi="Arial" w:cs="Arial"/>
          <w:b/>
          <w:bCs/>
        </w:rPr>
      </w:pPr>
      <w:r>
        <w:rPr>
          <w:rFonts w:ascii="Arial" w:hAnsi="Arial" w:cs="Arial"/>
          <w:b/>
          <w:bCs/>
        </w:rPr>
        <w:t xml:space="preserve">Overview </w:t>
      </w:r>
    </w:p>
    <w:p w14:paraId="3ACFD92B" w14:textId="5BD76533" w:rsidR="005F795E" w:rsidRPr="005C0480" w:rsidRDefault="005F795E" w:rsidP="005F795E">
      <w:pPr>
        <w:pStyle w:val="ListParagraph"/>
        <w:numPr>
          <w:ilvl w:val="0"/>
          <w:numId w:val="1"/>
        </w:numPr>
        <w:rPr>
          <w:rFonts w:ascii="Arial" w:hAnsi="Arial" w:cs="Arial"/>
          <w:sz w:val="20"/>
          <w:szCs w:val="20"/>
        </w:rPr>
      </w:pPr>
      <w:r w:rsidRPr="005C0480">
        <w:rPr>
          <w:rFonts w:ascii="Arial" w:hAnsi="Arial" w:cs="Arial"/>
          <w:sz w:val="20"/>
          <w:szCs w:val="20"/>
        </w:rPr>
        <w:t xml:space="preserve">Sustainable investing is critical to the sustainability </w:t>
      </w:r>
      <w:r w:rsidRPr="005C0480">
        <w:rPr>
          <w:rFonts w:ascii="Arial" w:hAnsi="Arial" w:cs="Arial"/>
          <w:i/>
          <w:iCs/>
          <w:sz w:val="20"/>
          <w:szCs w:val="20"/>
        </w:rPr>
        <w:t xml:space="preserve">of </w:t>
      </w:r>
      <w:r w:rsidRPr="005C0480">
        <w:rPr>
          <w:rFonts w:ascii="Arial" w:hAnsi="Arial" w:cs="Arial"/>
          <w:sz w:val="20"/>
          <w:szCs w:val="20"/>
        </w:rPr>
        <w:t>investing. The incorporation of sustainability in investment management is a necessary element in the industry’s mission to serve society by improving long-term outcomes.</w:t>
      </w:r>
      <w:r w:rsidR="005C0480" w:rsidRPr="005C0480">
        <w:rPr>
          <w:rFonts w:ascii="Arial" w:hAnsi="Arial" w:cs="Arial"/>
          <w:sz w:val="20"/>
          <w:szCs w:val="20"/>
        </w:rPr>
        <w:br/>
      </w:r>
    </w:p>
    <w:p w14:paraId="2405052B" w14:textId="5E34BC2C" w:rsidR="00CF77C7" w:rsidRPr="005C0480" w:rsidRDefault="005F795E" w:rsidP="00E6069B">
      <w:pPr>
        <w:pStyle w:val="ListParagraph"/>
        <w:numPr>
          <w:ilvl w:val="0"/>
          <w:numId w:val="1"/>
        </w:numPr>
        <w:rPr>
          <w:rFonts w:ascii="Arial" w:hAnsi="Arial" w:cs="Arial"/>
          <w:sz w:val="20"/>
          <w:szCs w:val="20"/>
        </w:rPr>
      </w:pPr>
      <w:r w:rsidRPr="005C0480">
        <w:rPr>
          <w:rFonts w:ascii="Arial" w:hAnsi="Arial" w:cs="Arial"/>
          <w:sz w:val="20"/>
          <w:szCs w:val="20"/>
        </w:rPr>
        <w:t>We are moving from sustainable investing as a good idea to a reality that has implications for all investment portfolios</w:t>
      </w:r>
      <w:r w:rsidR="005C0480" w:rsidRPr="005C0480">
        <w:rPr>
          <w:rFonts w:ascii="Arial" w:hAnsi="Arial" w:cs="Arial"/>
          <w:sz w:val="20"/>
          <w:szCs w:val="20"/>
        </w:rPr>
        <w:t>.</w:t>
      </w:r>
      <w:r w:rsidR="005C0480" w:rsidRPr="005C0480">
        <w:rPr>
          <w:rFonts w:ascii="Arial" w:hAnsi="Arial" w:cs="Arial"/>
          <w:sz w:val="20"/>
          <w:szCs w:val="20"/>
        </w:rPr>
        <w:br/>
      </w:r>
    </w:p>
    <w:p w14:paraId="6692269A" w14:textId="6A3A1515" w:rsidR="005F795E" w:rsidRDefault="00CF77C7" w:rsidP="00AE71E7">
      <w:pPr>
        <w:pStyle w:val="ListParagraph"/>
        <w:numPr>
          <w:ilvl w:val="0"/>
          <w:numId w:val="1"/>
        </w:numPr>
        <w:rPr>
          <w:rFonts w:ascii="Arial" w:hAnsi="Arial" w:cs="Arial"/>
          <w:sz w:val="20"/>
          <w:szCs w:val="20"/>
        </w:rPr>
      </w:pPr>
      <w:r w:rsidRPr="005C0480">
        <w:rPr>
          <w:rFonts w:ascii="Arial" w:hAnsi="Arial" w:cs="Arial"/>
          <w:sz w:val="20"/>
          <w:szCs w:val="20"/>
        </w:rPr>
        <w:t>Right now, we’re at a threshold moment – a point of strategic inflection where sustainability goes through a period of transformation</w:t>
      </w:r>
      <w:r w:rsidR="00AE71E7">
        <w:rPr>
          <w:rFonts w:ascii="Arial" w:hAnsi="Arial" w:cs="Arial"/>
          <w:sz w:val="20"/>
          <w:szCs w:val="20"/>
        </w:rPr>
        <w:t>.</w:t>
      </w:r>
    </w:p>
    <w:p w14:paraId="67D24A36" w14:textId="77777777" w:rsidR="00AE71E7" w:rsidRPr="005C0480" w:rsidRDefault="00AE71E7" w:rsidP="00576DA0">
      <w:pPr>
        <w:pStyle w:val="ListParagraph"/>
        <w:rPr>
          <w:rFonts w:ascii="Arial" w:hAnsi="Arial" w:cs="Arial"/>
          <w:sz w:val="20"/>
          <w:szCs w:val="20"/>
        </w:rPr>
      </w:pPr>
    </w:p>
    <w:p w14:paraId="4B82B518" w14:textId="7EC8B2BA" w:rsidR="00DA38FD" w:rsidRPr="005C0480" w:rsidRDefault="00DA38FD" w:rsidP="00DA38FD">
      <w:pPr>
        <w:pStyle w:val="ListParagraph"/>
        <w:numPr>
          <w:ilvl w:val="0"/>
          <w:numId w:val="1"/>
        </w:numPr>
        <w:rPr>
          <w:rFonts w:ascii="Arial" w:hAnsi="Arial" w:cs="Arial"/>
          <w:sz w:val="20"/>
          <w:szCs w:val="20"/>
        </w:rPr>
      </w:pPr>
      <w:r w:rsidRPr="005C0480">
        <w:rPr>
          <w:rFonts w:ascii="Arial" w:hAnsi="Arial" w:cs="Arial"/>
          <w:sz w:val="20"/>
          <w:szCs w:val="20"/>
        </w:rPr>
        <w:t>Sustainable investing goes further than its forerunners in three important ways:</w:t>
      </w:r>
      <w:r w:rsidR="00E6069B">
        <w:rPr>
          <w:rFonts w:ascii="Arial" w:hAnsi="Arial" w:cs="Arial"/>
          <w:sz w:val="20"/>
          <w:szCs w:val="20"/>
        </w:rPr>
        <w:br/>
      </w:r>
    </w:p>
    <w:p w14:paraId="706A4011" w14:textId="7593605D" w:rsidR="00DA38FD" w:rsidRPr="005C0480" w:rsidRDefault="00DA38FD" w:rsidP="00DA38FD">
      <w:pPr>
        <w:pStyle w:val="ListParagraph"/>
        <w:numPr>
          <w:ilvl w:val="1"/>
          <w:numId w:val="1"/>
        </w:numPr>
        <w:rPr>
          <w:rFonts w:ascii="Arial" w:hAnsi="Arial" w:cs="Arial"/>
          <w:sz w:val="20"/>
          <w:szCs w:val="20"/>
        </w:rPr>
      </w:pPr>
      <w:r w:rsidRPr="005C0480">
        <w:rPr>
          <w:rFonts w:ascii="Arial" w:hAnsi="Arial" w:cs="Arial"/>
          <w:sz w:val="20"/>
          <w:szCs w:val="20"/>
        </w:rPr>
        <w:t>(1) It is additive to investment theory and does not mean a rejection of foundational concepts.</w:t>
      </w:r>
    </w:p>
    <w:p w14:paraId="3728D106" w14:textId="48804A3C" w:rsidR="00DA38FD" w:rsidRPr="005C0480" w:rsidRDefault="00DA38FD" w:rsidP="00DA38FD">
      <w:pPr>
        <w:pStyle w:val="ListParagraph"/>
        <w:numPr>
          <w:ilvl w:val="1"/>
          <w:numId w:val="1"/>
        </w:numPr>
        <w:rPr>
          <w:rFonts w:ascii="Arial" w:hAnsi="Arial" w:cs="Arial"/>
          <w:sz w:val="20"/>
          <w:szCs w:val="20"/>
        </w:rPr>
      </w:pPr>
      <w:r w:rsidRPr="005C0480">
        <w:rPr>
          <w:rFonts w:ascii="Arial" w:hAnsi="Arial" w:cs="Arial"/>
          <w:sz w:val="20"/>
          <w:szCs w:val="20"/>
        </w:rPr>
        <w:t>(2) It develops deeper insights about how value will be created going forward using environmental, social, and governance (ESG) considerations.</w:t>
      </w:r>
    </w:p>
    <w:p w14:paraId="51D94751" w14:textId="73E9DC2C" w:rsidR="00C43F23" w:rsidRPr="006E3751" w:rsidRDefault="00DA38FD" w:rsidP="006E3751">
      <w:pPr>
        <w:pStyle w:val="ListParagraph"/>
        <w:numPr>
          <w:ilvl w:val="1"/>
          <w:numId w:val="1"/>
        </w:numPr>
        <w:rPr>
          <w:rFonts w:ascii="Arial" w:hAnsi="Arial" w:cs="Arial"/>
          <w:sz w:val="20"/>
          <w:szCs w:val="20"/>
        </w:rPr>
      </w:pPr>
      <w:r w:rsidRPr="005C0480">
        <w:rPr>
          <w:rFonts w:ascii="Arial" w:hAnsi="Arial" w:cs="Arial"/>
          <w:sz w:val="20"/>
          <w:szCs w:val="20"/>
        </w:rPr>
        <w:t>(3) It considers many stakeholders.</w:t>
      </w:r>
      <w:r w:rsidR="005C0480" w:rsidRPr="005C0480">
        <w:rPr>
          <w:rFonts w:ascii="Arial" w:hAnsi="Arial" w:cs="Arial"/>
          <w:sz w:val="20"/>
          <w:szCs w:val="20"/>
        </w:rPr>
        <w:br/>
      </w:r>
    </w:p>
    <w:p w14:paraId="5D4A657C" w14:textId="08890FE8" w:rsidR="00CF77C7" w:rsidRDefault="00CF77C7" w:rsidP="00CF77C7">
      <w:pPr>
        <w:rPr>
          <w:rFonts w:ascii="Arial" w:hAnsi="Arial" w:cs="Arial"/>
          <w:b/>
          <w:bCs/>
        </w:rPr>
      </w:pPr>
      <w:r w:rsidRPr="00CF77C7">
        <w:rPr>
          <w:rFonts w:ascii="Arial" w:hAnsi="Arial" w:cs="Arial"/>
          <w:b/>
          <w:bCs/>
        </w:rPr>
        <w:t xml:space="preserve">Influences </w:t>
      </w:r>
    </w:p>
    <w:p w14:paraId="44FADD33" w14:textId="5CA17961" w:rsidR="00D5270A" w:rsidRPr="00D5270A" w:rsidRDefault="00D5270A" w:rsidP="00D5270A">
      <w:pPr>
        <w:pStyle w:val="ListParagraph"/>
        <w:rPr>
          <w:rFonts w:ascii="Arial" w:hAnsi="Arial" w:cs="Arial"/>
          <w:sz w:val="18"/>
          <w:szCs w:val="18"/>
        </w:rPr>
      </w:pPr>
    </w:p>
    <w:p w14:paraId="2F4D7F90" w14:textId="77777777" w:rsidR="00315C02" w:rsidRDefault="00315C02" w:rsidP="00315C02">
      <w:pPr>
        <w:pStyle w:val="ListParagraph"/>
        <w:numPr>
          <w:ilvl w:val="0"/>
          <w:numId w:val="3"/>
        </w:numPr>
        <w:rPr>
          <w:rFonts w:ascii="Arial" w:hAnsi="Arial" w:cs="Arial"/>
          <w:sz w:val="20"/>
          <w:szCs w:val="20"/>
        </w:rPr>
      </w:pPr>
      <w:r w:rsidRPr="00F53042">
        <w:rPr>
          <w:rFonts w:ascii="Arial" w:hAnsi="Arial" w:cs="Arial"/>
          <w:sz w:val="20"/>
          <w:szCs w:val="20"/>
        </w:rPr>
        <w:t>The fundamental purpose of finance is to contribute to society through increases in societal wealth and well-being. Looking at finance as an ecosystem reveals important interconnections and points of friction in how finance currently works in relation to this purpose.</w:t>
      </w:r>
    </w:p>
    <w:p w14:paraId="4B239246" w14:textId="77777777" w:rsidR="00315C02" w:rsidRDefault="00315C02" w:rsidP="00315C02">
      <w:pPr>
        <w:pStyle w:val="ListParagraph"/>
        <w:rPr>
          <w:rFonts w:ascii="Arial" w:hAnsi="Arial" w:cs="Arial"/>
          <w:sz w:val="20"/>
          <w:szCs w:val="20"/>
        </w:rPr>
      </w:pPr>
    </w:p>
    <w:p w14:paraId="2EAF74E7" w14:textId="77777777" w:rsidR="00315C02" w:rsidRDefault="00315C02" w:rsidP="00315C02">
      <w:pPr>
        <w:pStyle w:val="ListParagraph"/>
        <w:numPr>
          <w:ilvl w:val="0"/>
          <w:numId w:val="3"/>
        </w:numPr>
        <w:rPr>
          <w:rFonts w:ascii="Arial" w:hAnsi="Arial" w:cs="Arial"/>
          <w:sz w:val="20"/>
          <w:szCs w:val="20"/>
        </w:rPr>
      </w:pPr>
      <w:r w:rsidRPr="00F53042">
        <w:rPr>
          <w:rFonts w:ascii="Arial" w:hAnsi="Arial" w:cs="Arial"/>
          <w:sz w:val="20"/>
          <w:szCs w:val="20"/>
        </w:rPr>
        <w:t>For many years, sustainable investing could be characterized as “a slow-moving but unstoppable train” that had started to pick up pace. COVID-19 has accelerated it</w:t>
      </w:r>
      <w:r>
        <w:rPr>
          <w:rFonts w:ascii="Arial" w:hAnsi="Arial" w:cs="Arial"/>
          <w:sz w:val="20"/>
          <w:szCs w:val="20"/>
        </w:rPr>
        <w:t xml:space="preserve"> even</w:t>
      </w:r>
      <w:r w:rsidRPr="00F53042">
        <w:rPr>
          <w:rFonts w:ascii="Arial" w:hAnsi="Arial" w:cs="Arial"/>
          <w:sz w:val="20"/>
          <w:szCs w:val="20"/>
        </w:rPr>
        <w:t xml:space="preserve"> further, but the challenge of balancing short-term and long-term needs has never been </w:t>
      </w:r>
      <w:proofErr w:type="gramStart"/>
      <w:r w:rsidRPr="00F53042">
        <w:rPr>
          <w:rFonts w:ascii="Arial" w:hAnsi="Arial" w:cs="Arial"/>
          <w:sz w:val="20"/>
          <w:szCs w:val="20"/>
        </w:rPr>
        <w:t>more stark</w:t>
      </w:r>
      <w:proofErr w:type="gramEnd"/>
      <w:r w:rsidRPr="00F53042">
        <w:rPr>
          <w:rFonts w:ascii="Arial" w:hAnsi="Arial" w:cs="Arial"/>
          <w:sz w:val="20"/>
          <w:szCs w:val="20"/>
        </w:rPr>
        <w:t>.</w:t>
      </w:r>
    </w:p>
    <w:p w14:paraId="3FE33C67" w14:textId="77777777" w:rsidR="00315C02" w:rsidRDefault="00315C02" w:rsidP="006E3751">
      <w:pPr>
        <w:pStyle w:val="ListParagraph"/>
        <w:rPr>
          <w:rFonts w:ascii="Arial" w:hAnsi="Arial" w:cs="Arial"/>
          <w:sz w:val="20"/>
          <w:szCs w:val="20"/>
        </w:rPr>
      </w:pPr>
    </w:p>
    <w:p w14:paraId="7B1B054B" w14:textId="1E605814" w:rsidR="00315C02" w:rsidRDefault="00315C02" w:rsidP="00D5270A">
      <w:pPr>
        <w:pStyle w:val="ListParagraph"/>
        <w:numPr>
          <w:ilvl w:val="0"/>
          <w:numId w:val="3"/>
        </w:numPr>
        <w:rPr>
          <w:rFonts w:ascii="Arial" w:hAnsi="Arial" w:cs="Arial"/>
          <w:sz w:val="20"/>
          <w:szCs w:val="20"/>
        </w:rPr>
      </w:pPr>
      <w:r>
        <w:rPr>
          <w:rFonts w:ascii="Arial" w:hAnsi="Arial" w:cs="Arial"/>
          <w:sz w:val="20"/>
          <w:szCs w:val="20"/>
        </w:rPr>
        <w:t xml:space="preserve">When we consider the history of sustainable investing, we see three phases and the speeding up of sustainability. </w:t>
      </w:r>
    </w:p>
    <w:p w14:paraId="75932F79" w14:textId="77777777" w:rsidR="00262AF7" w:rsidRDefault="00315C02" w:rsidP="006E3751">
      <w:pPr>
        <w:pStyle w:val="ListParagraph"/>
        <w:numPr>
          <w:ilvl w:val="1"/>
          <w:numId w:val="5"/>
        </w:numPr>
        <w:rPr>
          <w:rFonts w:ascii="Arial" w:hAnsi="Arial" w:cs="Arial"/>
          <w:sz w:val="20"/>
          <w:szCs w:val="20"/>
        </w:rPr>
      </w:pPr>
      <w:r>
        <w:rPr>
          <w:rFonts w:ascii="Arial" w:hAnsi="Arial" w:cs="Arial"/>
          <w:sz w:val="20"/>
          <w:szCs w:val="20"/>
        </w:rPr>
        <w:t xml:space="preserve">The first phase began in the 1970s with the first sustainable mutual fund and the Sullivan principles addressing apartheid in South Africa and continued till the launch of UN PRI in 2006. </w:t>
      </w:r>
    </w:p>
    <w:p w14:paraId="1A7A8E81" w14:textId="2A9125E0" w:rsidR="00315C02" w:rsidRDefault="00262AF7" w:rsidP="006E3751">
      <w:pPr>
        <w:pStyle w:val="ListParagraph"/>
        <w:numPr>
          <w:ilvl w:val="1"/>
          <w:numId w:val="5"/>
        </w:numPr>
        <w:rPr>
          <w:rFonts w:ascii="Arial" w:hAnsi="Arial" w:cs="Arial"/>
          <w:sz w:val="20"/>
          <w:szCs w:val="20"/>
        </w:rPr>
      </w:pPr>
      <w:r>
        <w:rPr>
          <w:rFonts w:ascii="Arial" w:hAnsi="Arial" w:cs="Arial"/>
          <w:sz w:val="20"/>
          <w:szCs w:val="20"/>
        </w:rPr>
        <w:t>This phase ushered in ESG integration and was marked by the increasing focus on climate risk following the Paris Agreement in 2015.</w:t>
      </w:r>
    </w:p>
    <w:p w14:paraId="1D66D207" w14:textId="4EF69A96" w:rsidR="00262AF7" w:rsidRDefault="00262AF7" w:rsidP="006E3751">
      <w:pPr>
        <w:pStyle w:val="ListParagraph"/>
        <w:numPr>
          <w:ilvl w:val="1"/>
          <w:numId w:val="5"/>
        </w:numPr>
        <w:rPr>
          <w:rFonts w:ascii="Arial" w:hAnsi="Arial" w:cs="Arial"/>
          <w:sz w:val="20"/>
          <w:szCs w:val="20"/>
        </w:rPr>
      </w:pPr>
      <w:r>
        <w:rPr>
          <w:rFonts w:ascii="Arial" w:hAnsi="Arial" w:cs="Arial"/>
          <w:sz w:val="20"/>
          <w:szCs w:val="20"/>
        </w:rPr>
        <w:t>Now we see 2020 as the start of a third phase, where mainstreaming is truly possible.</w:t>
      </w:r>
    </w:p>
    <w:p w14:paraId="5F543555" w14:textId="77777777" w:rsidR="00D5270A" w:rsidRPr="00D5270A" w:rsidRDefault="00D5270A" w:rsidP="00D5270A">
      <w:pPr>
        <w:pStyle w:val="ListParagraph"/>
        <w:rPr>
          <w:rFonts w:ascii="Arial" w:hAnsi="Arial" w:cs="Arial"/>
          <w:sz w:val="20"/>
          <w:szCs w:val="20"/>
        </w:rPr>
      </w:pPr>
    </w:p>
    <w:p w14:paraId="478E89B2" w14:textId="77777777" w:rsidR="00262AF7" w:rsidRDefault="00262AF7" w:rsidP="00262AF7">
      <w:pPr>
        <w:pStyle w:val="ListParagraph"/>
        <w:numPr>
          <w:ilvl w:val="0"/>
          <w:numId w:val="3"/>
        </w:numPr>
        <w:rPr>
          <w:rFonts w:ascii="Arial" w:hAnsi="Arial" w:cs="Arial"/>
          <w:sz w:val="20"/>
          <w:szCs w:val="20"/>
        </w:rPr>
      </w:pPr>
      <w:r w:rsidRPr="00303B52">
        <w:rPr>
          <w:rFonts w:ascii="Arial" w:hAnsi="Arial" w:cs="Arial"/>
          <w:sz w:val="20"/>
          <w:szCs w:val="20"/>
        </w:rPr>
        <w:t xml:space="preserve">The COVID-19 pandemic has encouraged a more holistic view of ESG versus the individual elements of E, S, and G. </w:t>
      </w:r>
    </w:p>
    <w:p w14:paraId="42455F36" w14:textId="77777777" w:rsidR="00262AF7" w:rsidRPr="00303B52" w:rsidRDefault="00262AF7" w:rsidP="00262AF7">
      <w:pPr>
        <w:pStyle w:val="ListParagraph"/>
        <w:rPr>
          <w:rFonts w:ascii="Arial" w:hAnsi="Arial" w:cs="Arial"/>
          <w:sz w:val="20"/>
          <w:szCs w:val="20"/>
        </w:rPr>
      </w:pPr>
    </w:p>
    <w:p w14:paraId="7A626385" w14:textId="77777777" w:rsidR="00262AF7" w:rsidRDefault="00262AF7" w:rsidP="00262AF7">
      <w:pPr>
        <w:pStyle w:val="ListParagraph"/>
        <w:numPr>
          <w:ilvl w:val="1"/>
          <w:numId w:val="3"/>
        </w:numPr>
        <w:rPr>
          <w:rFonts w:ascii="Arial" w:hAnsi="Arial" w:cs="Arial"/>
          <w:sz w:val="20"/>
          <w:szCs w:val="20"/>
        </w:rPr>
      </w:pPr>
      <w:r w:rsidRPr="00303B52">
        <w:rPr>
          <w:rFonts w:ascii="Arial" w:hAnsi="Arial" w:cs="Arial"/>
          <w:sz w:val="20"/>
          <w:szCs w:val="20"/>
        </w:rPr>
        <w:t>The crisis is making people realize the financial importance and materiality of social factors, consistent with a stakeholder mindset</w:t>
      </w:r>
      <w:r>
        <w:rPr>
          <w:rFonts w:ascii="Arial" w:hAnsi="Arial" w:cs="Arial"/>
          <w:sz w:val="20"/>
          <w:szCs w:val="20"/>
        </w:rPr>
        <w:t xml:space="preserve">. </w:t>
      </w:r>
      <w:r w:rsidRPr="00303B52">
        <w:rPr>
          <w:rFonts w:ascii="Arial" w:hAnsi="Arial" w:cs="Arial"/>
          <w:sz w:val="20"/>
          <w:szCs w:val="20"/>
        </w:rPr>
        <w:t>Because of relatively less focus historically, social factors tend to be the least defined, so this is an area for innovation</w:t>
      </w:r>
      <w:r>
        <w:rPr>
          <w:rFonts w:ascii="Arial" w:hAnsi="Arial" w:cs="Arial"/>
          <w:sz w:val="20"/>
          <w:szCs w:val="20"/>
        </w:rPr>
        <w:t>.</w:t>
      </w:r>
    </w:p>
    <w:p w14:paraId="2B90DB68" w14:textId="77777777" w:rsidR="00262AF7" w:rsidRPr="00303B52" w:rsidRDefault="00262AF7" w:rsidP="00262AF7">
      <w:pPr>
        <w:pStyle w:val="ListParagraph"/>
        <w:rPr>
          <w:rFonts w:ascii="Arial" w:hAnsi="Arial" w:cs="Arial"/>
          <w:sz w:val="20"/>
          <w:szCs w:val="20"/>
        </w:rPr>
      </w:pPr>
    </w:p>
    <w:p w14:paraId="6614267C" w14:textId="6DB083F6" w:rsidR="00262AF7" w:rsidRDefault="00262AF7" w:rsidP="00262AF7">
      <w:pPr>
        <w:pStyle w:val="ListParagraph"/>
        <w:numPr>
          <w:ilvl w:val="1"/>
          <w:numId w:val="3"/>
        </w:numPr>
        <w:rPr>
          <w:rFonts w:ascii="Arial" w:hAnsi="Arial" w:cs="Arial"/>
          <w:sz w:val="20"/>
          <w:szCs w:val="20"/>
        </w:rPr>
      </w:pPr>
      <w:r>
        <w:rPr>
          <w:rFonts w:ascii="Arial" w:hAnsi="Arial" w:cs="Arial"/>
          <w:sz w:val="20"/>
          <w:szCs w:val="20"/>
        </w:rPr>
        <w:t>E</w:t>
      </w:r>
      <w:r w:rsidRPr="00303B52">
        <w:rPr>
          <w:rFonts w:ascii="Arial" w:hAnsi="Arial" w:cs="Arial"/>
          <w:sz w:val="20"/>
          <w:szCs w:val="20"/>
        </w:rPr>
        <w:t xml:space="preserve">arly performance </w:t>
      </w:r>
      <w:r>
        <w:rPr>
          <w:rFonts w:ascii="Arial" w:hAnsi="Arial" w:cs="Arial"/>
          <w:sz w:val="20"/>
          <w:szCs w:val="20"/>
        </w:rPr>
        <w:t>metrics</w:t>
      </w:r>
      <w:r w:rsidRPr="00303B52">
        <w:rPr>
          <w:rFonts w:ascii="Arial" w:hAnsi="Arial" w:cs="Arial"/>
          <w:sz w:val="20"/>
          <w:szCs w:val="20"/>
        </w:rPr>
        <w:t xml:space="preserve"> from the pandemic</w:t>
      </w:r>
      <w:r>
        <w:rPr>
          <w:rFonts w:ascii="Arial" w:hAnsi="Arial" w:cs="Arial"/>
          <w:sz w:val="20"/>
          <w:szCs w:val="20"/>
        </w:rPr>
        <w:t xml:space="preserve"> showed</w:t>
      </w:r>
      <w:r w:rsidRPr="00303B52">
        <w:rPr>
          <w:rFonts w:ascii="Arial" w:hAnsi="Arial" w:cs="Arial"/>
          <w:sz w:val="20"/>
          <w:szCs w:val="20"/>
        </w:rPr>
        <w:t xml:space="preserve"> that well-rated ESG companies performed better and were more resilient, indicating that the higher quality embedded in many highly rated companies had paid off</w:t>
      </w:r>
      <w:r>
        <w:rPr>
          <w:rFonts w:ascii="Arial" w:hAnsi="Arial" w:cs="Arial"/>
          <w:sz w:val="20"/>
          <w:szCs w:val="20"/>
        </w:rPr>
        <w:t xml:space="preserve">. </w:t>
      </w:r>
    </w:p>
    <w:p w14:paraId="0C0088F8" w14:textId="77777777" w:rsidR="006E3751" w:rsidRPr="006E3751" w:rsidRDefault="006E3751" w:rsidP="006E3751">
      <w:pPr>
        <w:pStyle w:val="ListParagraph"/>
        <w:rPr>
          <w:rFonts w:ascii="Arial" w:hAnsi="Arial" w:cs="Arial"/>
          <w:sz w:val="20"/>
          <w:szCs w:val="20"/>
        </w:rPr>
      </w:pPr>
    </w:p>
    <w:p w14:paraId="27C35780" w14:textId="7443D58D" w:rsidR="006E3751" w:rsidRPr="00520D60" w:rsidRDefault="006E3751" w:rsidP="006E3751">
      <w:pPr>
        <w:pStyle w:val="ListParagraph"/>
        <w:numPr>
          <w:ilvl w:val="2"/>
          <w:numId w:val="3"/>
        </w:numPr>
        <w:rPr>
          <w:rFonts w:ascii="Arial" w:hAnsi="Arial" w:cs="Arial"/>
          <w:sz w:val="20"/>
          <w:szCs w:val="20"/>
        </w:rPr>
      </w:pPr>
      <w:r>
        <w:rPr>
          <w:rFonts w:ascii="Arial" w:hAnsi="Arial" w:cs="Arial"/>
          <w:sz w:val="20"/>
          <w:szCs w:val="20"/>
        </w:rPr>
        <w:t xml:space="preserve">We are seeing a similar pattern with the Experimental Partners program, namely that organizations that had invested in inclusion &amp; diversity have been more resilient during the pandemic. </w:t>
      </w:r>
    </w:p>
    <w:p w14:paraId="1E421394" w14:textId="77777777" w:rsidR="00262AF7" w:rsidRPr="00520D60" w:rsidRDefault="00262AF7" w:rsidP="00520D60">
      <w:pPr>
        <w:pStyle w:val="ListParagraph"/>
        <w:ind w:left="1440"/>
        <w:rPr>
          <w:rFonts w:ascii="Arial" w:hAnsi="Arial" w:cs="Arial"/>
          <w:sz w:val="20"/>
          <w:szCs w:val="20"/>
        </w:rPr>
      </w:pPr>
    </w:p>
    <w:p w14:paraId="6A4C6034" w14:textId="710AB415" w:rsidR="00262AF7" w:rsidRPr="00520D60" w:rsidRDefault="00262AF7" w:rsidP="00520D60">
      <w:pPr>
        <w:pStyle w:val="ListParagraph"/>
        <w:numPr>
          <w:ilvl w:val="0"/>
          <w:numId w:val="3"/>
        </w:numPr>
        <w:rPr>
          <w:rFonts w:ascii="Arial" w:hAnsi="Arial" w:cs="Arial"/>
          <w:sz w:val="20"/>
          <w:szCs w:val="20"/>
        </w:rPr>
      </w:pPr>
      <w:r w:rsidRPr="00520D60">
        <w:rPr>
          <w:rFonts w:ascii="Arial" w:hAnsi="Arial" w:cs="Arial"/>
          <w:sz w:val="20"/>
          <w:szCs w:val="20"/>
        </w:rPr>
        <w:t>Other evidence of a speeding up includes:</w:t>
      </w:r>
    </w:p>
    <w:p w14:paraId="1D75FEFC" w14:textId="3EB2D5A0" w:rsidR="00F53042" w:rsidRPr="00520D60" w:rsidRDefault="00D5270A" w:rsidP="00520D60">
      <w:pPr>
        <w:pStyle w:val="ListParagraph"/>
        <w:numPr>
          <w:ilvl w:val="1"/>
          <w:numId w:val="3"/>
        </w:numPr>
        <w:rPr>
          <w:rFonts w:ascii="Arial" w:hAnsi="Arial" w:cs="Arial"/>
          <w:sz w:val="20"/>
          <w:szCs w:val="20"/>
        </w:rPr>
      </w:pPr>
      <w:r w:rsidRPr="00D5270A">
        <w:rPr>
          <w:rFonts w:ascii="Arial" w:hAnsi="Arial" w:cs="Arial"/>
          <w:sz w:val="20"/>
          <w:szCs w:val="20"/>
        </w:rPr>
        <w:t xml:space="preserve">In the practitioner survey </w:t>
      </w:r>
      <w:r>
        <w:rPr>
          <w:rFonts w:ascii="Arial" w:hAnsi="Arial" w:cs="Arial"/>
          <w:sz w:val="20"/>
          <w:szCs w:val="20"/>
        </w:rPr>
        <w:t xml:space="preserve">of </w:t>
      </w:r>
      <w:r w:rsidRPr="00D5270A">
        <w:rPr>
          <w:rFonts w:ascii="Arial" w:hAnsi="Arial" w:cs="Arial"/>
          <w:sz w:val="20"/>
          <w:szCs w:val="20"/>
        </w:rPr>
        <w:t>CFA Institute members in March 2020, a total of 85% said they take E, S, and/or G factors into consideration in their investing, up from 73% just three years ago</w:t>
      </w:r>
      <w:r>
        <w:rPr>
          <w:rFonts w:ascii="Arial" w:hAnsi="Arial" w:cs="Arial"/>
          <w:sz w:val="20"/>
          <w:szCs w:val="20"/>
        </w:rPr>
        <w:t xml:space="preserve">. </w:t>
      </w:r>
    </w:p>
    <w:p w14:paraId="06A93A18" w14:textId="77777777" w:rsidR="00315C02" w:rsidRDefault="00315C02" w:rsidP="00520D60">
      <w:pPr>
        <w:pStyle w:val="ListParagraph"/>
        <w:ind w:left="1440"/>
        <w:rPr>
          <w:rFonts w:ascii="Arial" w:hAnsi="Arial" w:cs="Arial"/>
          <w:sz w:val="20"/>
          <w:szCs w:val="20"/>
        </w:rPr>
      </w:pPr>
    </w:p>
    <w:p w14:paraId="05257D7D" w14:textId="66462505" w:rsidR="00262AF7" w:rsidRDefault="00E6069B" w:rsidP="00E6069B">
      <w:pPr>
        <w:pStyle w:val="ListParagraph"/>
        <w:numPr>
          <w:ilvl w:val="1"/>
          <w:numId w:val="3"/>
        </w:numPr>
        <w:rPr>
          <w:rFonts w:ascii="Arial" w:hAnsi="Arial" w:cs="Arial"/>
          <w:sz w:val="20"/>
          <w:szCs w:val="20"/>
        </w:rPr>
      </w:pPr>
      <w:r w:rsidRPr="00E6069B">
        <w:rPr>
          <w:rFonts w:ascii="Arial" w:hAnsi="Arial" w:cs="Arial"/>
          <w:sz w:val="20"/>
          <w:szCs w:val="20"/>
        </w:rPr>
        <w:t xml:space="preserve">Client demand as a motivation for investment organizations to consider ESG factors increased significantly in the last three years. Demand </w:t>
      </w:r>
      <w:r w:rsidR="00BC36F8">
        <w:rPr>
          <w:rFonts w:ascii="Arial" w:hAnsi="Arial" w:cs="Arial"/>
          <w:sz w:val="20"/>
          <w:szCs w:val="20"/>
        </w:rPr>
        <w:t xml:space="preserve">as a motivator </w:t>
      </w:r>
      <w:r w:rsidRPr="00E6069B">
        <w:rPr>
          <w:rFonts w:ascii="Arial" w:hAnsi="Arial" w:cs="Arial"/>
          <w:sz w:val="20"/>
          <w:szCs w:val="20"/>
        </w:rPr>
        <w:t>was highest in the Americas region (65%), an increase of 20 percentage points since 2017</w:t>
      </w:r>
      <w:r>
        <w:rPr>
          <w:rFonts w:ascii="Arial" w:hAnsi="Arial" w:cs="Arial"/>
          <w:sz w:val="20"/>
          <w:szCs w:val="20"/>
        </w:rPr>
        <w:t>.</w:t>
      </w:r>
      <w:r w:rsidR="00F53042">
        <w:rPr>
          <w:rFonts w:ascii="Arial" w:hAnsi="Arial" w:cs="Arial"/>
          <w:sz w:val="20"/>
          <w:szCs w:val="20"/>
        </w:rPr>
        <w:br/>
      </w:r>
    </w:p>
    <w:p w14:paraId="4D36ACF0" w14:textId="26BA6EFD" w:rsidR="00F53042" w:rsidRDefault="00262AF7" w:rsidP="00262AF7">
      <w:pPr>
        <w:pStyle w:val="ListParagraph"/>
        <w:numPr>
          <w:ilvl w:val="1"/>
          <w:numId w:val="3"/>
        </w:numPr>
        <w:rPr>
          <w:rFonts w:ascii="Arial" w:hAnsi="Arial" w:cs="Arial"/>
          <w:sz w:val="20"/>
          <w:szCs w:val="20"/>
        </w:rPr>
      </w:pPr>
      <w:r w:rsidRPr="00520D60">
        <w:rPr>
          <w:rFonts w:ascii="Arial" w:hAnsi="Arial" w:cs="Arial"/>
          <w:sz w:val="20"/>
          <w:szCs w:val="20"/>
        </w:rPr>
        <w:t>In the first half of 2020 alone, the Principles for Responsible Investment (PRI) signatories increased by 28%, to more than 3,000 entities, and the assets under management grew 20%, to more than US$100 trillion.</w:t>
      </w:r>
    </w:p>
    <w:p w14:paraId="6BAA19C8" w14:textId="77777777" w:rsidR="00303B52" w:rsidRDefault="00303B52" w:rsidP="00520D60">
      <w:pPr>
        <w:pStyle w:val="ListParagraph"/>
        <w:ind w:left="1440"/>
      </w:pPr>
    </w:p>
    <w:p w14:paraId="1FADB4CD" w14:textId="77777777" w:rsidR="00262AF7" w:rsidRDefault="00262AF7" w:rsidP="00262AF7">
      <w:pPr>
        <w:pStyle w:val="ListParagraph"/>
        <w:numPr>
          <w:ilvl w:val="0"/>
          <w:numId w:val="3"/>
        </w:numPr>
        <w:rPr>
          <w:rFonts w:ascii="Arial" w:hAnsi="Arial" w:cs="Arial"/>
          <w:sz w:val="20"/>
          <w:szCs w:val="20"/>
        </w:rPr>
      </w:pPr>
      <w:r w:rsidRPr="00D5270A">
        <w:rPr>
          <w:rFonts w:ascii="Arial" w:hAnsi="Arial" w:cs="Arial"/>
          <w:sz w:val="20"/>
          <w:szCs w:val="20"/>
        </w:rPr>
        <w:t xml:space="preserve">An acceleration of regulation, combined with the longer-lasting impacts of the pandemic, </w:t>
      </w:r>
      <w:r>
        <w:rPr>
          <w:rFonts w:ascii="Arial" w:hAnsi="Arial" w:cs="Arial"/>
          <w:sz w:val="20"/>
          <w:szCs w:val="20"/>
        </w:rPr>
        <w:t xml:space="preserve">has </w:t>
      </w:r>
      <w:r w:rsidRPr="00D5270A">
        <w:rPr>
          <w:rFonts w:ascii="Arial" w:hAnsi="Arial" w:cs="Arial"/>
          <w:sz w:val="20"/>
          <w:szCs w:val="20"/>
        </w:rPr>
        <w:t>position</w:t>
      </w:r>
      <w:r>
        <w:rPr>
          <w:rFonts w:ascii="Arial" w:hAnsi="Arial" w:cs="Arial"/>
          <w:sz w:val="20"/>
          <w:szCs w:val="20"/>
        </w:rPr>
        <w:t>ed</w:t>
      </w:r>
      <w:r w:rsidRPr="00D5270A">
        <w:rPr>
          <w:rFonts w:ascii="Arial" w:hAnsi="Arial" w:cs="Arial"/>
          <w:sz w:val="20"/>
          <w:szCs w:val="20"/>
        </w:rPr>
        <w:t xml:space="preserve"> the industry to come together with a convergence in standards and best practices.</w:t>
      </w:r>
    </w:p>
    <w:p w14:paraId="65FDCCA6" w14:textId="77777777" w:rsidR="00262AF7" w:rsidRDefault="00262AF7" w:rsidP="00262AF7">
      <w:pPr>
        <w:pStyle w:val="ListParagraph"/>
        <w:rPr>
          <w:rFonts w:ascii="Arial" w:hAnsi="Arial" w:cs="Arial"/>
          <w:sz w:val="20"/>
          <w:szCs w:val="20"/>
        </w:rPr>
      </w:pPr>
    </w:p>
    <w:p w14:paraId="19F6AF7A" w14:textId="476A5959" w:rsidR="00CF77C7" w:rsidRDefault="00CF77C7" w:rsidP="00CF77C7">
      <w:pPr>
        <w:rPr>
          <w:rFonts w:ascii="Arial" w:hAnsi="Arial" w:cs="Arial"/>
          <w:b/>
          <w:bCs/>
        </w:rPr>
      </w:pPr>
      <w:r w:rsidRPr="00CF77C7">
        <w:rPr>
          <w:rFonts w:ascii="Arial" w:hAnsi="Arial" w:cs="Arial"/>
          <w:b/>
          <w:bCs/>
        </w:rPr>
        <w:t xml:space="preserve">Drivers </w:t>
      </w:r>
    </w:p>
    <w:p w14:paraId="228244F4" w14:textId="36555E6A" w:rsidR="00665C29" w:rsidRPr="00A55793" w:rsidRDefault="005B42D1" w:rsidP="00A55793">
      <w:pPr>
        <w:pStyle w:val="ListParagraph"/>
        <w:numPr>
          <w:ilvl w:val="0"/>
          <w:numId w:val="4"/>
        </w:numPr>
        <w:rPr>
          <w:rFonts w:ascii="Arial" w:hAnsi="Arial" w:cs="Arial"/>
          <w:sz w:val="20"/>
          <w:szCs w:val="20"/>
        </w:rPr>
      </w:pPr>
      <w:r w:rsidRPr="005B42D1">
        <w:rPr>
          <w:rFonts w:ascii="Arial" w:hAnsi="Arial" w:cs="Arial"/>
          <w:sz w:val="20"/>
          <w:szCs w:val="20"/>
        </w:rPr>
        <w:t xml:space="preserve">The business model for investment organizations pursuing sustainable investing must make commitments on the full range of resources, processes, and incentives that are necessary to drive innovation of this magnitude. </w:t>
      </w:r>
      <w:r w:rsidR="00D35DA5">
        <w:rPr>
          <w:rFonts w:ascii="Arial" w:hAnsi="Arial" w:cs="Arial"/>
          <w:sz w:val="20"/>
          <w:szCs w:val="20"/>
        </w:rPr>
        <w:t>I</w:t>
      </w:r>
      <w:r w:rsidRPr="005B42D1">
        <w:rPr>
          <w:rFonts w:ascii="Arial" w:hAnsi="Arial" w:cs="Arial"/>
          <w:sz w:val="20"/>
          <w:szCs w:val="20"/>
        </w:rPr>
        <w:t>t</w:t>
      </w:r>
      <w:r w:rsidR="00D35DA5">
        <w:rPr>
          <w:rFonts w:ascii="Arial" w:hAnsi="Arial" w:cs="Arial"/>
          <w:sz w:val="20"/>
          <w:szCs w:val="20"/>
        </w:rPr>
        <w:t>’</w:t>
      </w:r>
      <w:r w:rsidRPr="005B42D1">
        <w:rPr>
          <w:rFonts w:ascii="Arial" w:hAnsi="Arial" w:cs="Arial"/>
          <w:sz w:val="20"/>
          <w:szCs w:val="20"/>
        </w:rPr>
        <w:t xml:space="preserve">s </w:t>
      </w:r>
      <w:r w:rsidR="00D35DA5">
        <w:rPr>
          <w:rFonts w:ascii="Arial" w:hAnsi="Arial" w:cs="Arial"/>
          <w:sz w:val="20"/>
          <w:szCs w:val="20"/>
        </w:rPr>
        <w:t xml:space="preserve">critical that </w:t>
      </w:r>
      <w:r w:rsidRPr="005B42D1">
        <w:rPr>
          <w:rFonts w:ascii="Arial" w:hAnsi="Arial" w:cs="Arial"/>
          <w:sz w:val="20"/>
          <w:szCs w:val="20"/>
        </w:rPr>
        <w:t xml:space="preserve">senior leadership </w:t>
      </w:r>
      <w:r w:rsidR="00D35DA5">
        <w:rPr>
          <w:rFonts w:ascii="Arial" w:hAnsi="Arial" w:cs="Arial"/>
          <w:sz w:val="20"/>
          <w:szCs w:val="20"/>
        </w:rPr>
        <w:t xml:space="preserve">set the sustainability orientation </w:t>
      </w:r>
      <w:r w:rsidRPr="005B42D1">
        <w:rPr>
          <w:rFonts w:ascii="Arial" w:hAnsi="Arial" w:cs="Arial"/>
          <w:sz w:val="20"/>
          <w:szCs w:val="20"/>
        </w:rPr>
        <w:t>and embed</w:t>
      </w:r>
      <w:r w:rsidR="00D35DA5">
        <w:rPr>
          <w:rFonts w:ascii="Arial" w:hAnsi="Arial" w:cs="Arial"/>
          <w:sz w:val="20"/>
          <w:szCs w:val="20"/>
        </w:rPr>
        <w:t xml:space="preserve"> these plans throughout the organization</w:t>
      </w:r>
      <w:r w:rsidRPr="005B42D1">
        <w:rPr>
          <w:rFonts w:ascii="Arial" w:hAnsi="Arial" w:cs="Arial"/>
          <w:sz w:val="20"/>
          <w:szCs w:val="20"/>
        </w:rPr>
        <w:t xml:space="preserve"> into values, beliefs, and extend into culture. </w:t>
      </w:r>
      <w:r w:rsidR="00A55793">
        <w:rPr>
          <w:rFonts w:ascii="Arial" w:hAnsi="Arial" w:cs="Arial"/>
          <w:sz w:val="20"/>
          <w:szCs w:val="20"/>
        </w:rPr>
        <w:br/>
      </w:r>
    </w:p>
    <w:p w14:paraId="48FCBA42" w14:textId="29A3BE7C" w:rsidR="00665C29" w:rsidRDefault="00665C29" w:rsidP="005B42D1">
      <w:pPr>
        <w:pStyle w:val="ListParagraph"/>
        <w:numPr>
          <w:ilvl w:val="0"/>
          <w:numId w:val="4"/>
        </w:numPr>
        <w:rPr>
          <w:rFonts w:ascii="Arial" w:hAnsi="Arial" w:cs="Arial"/>
          <w:sz w:val="20"/>
          <w:szCs w:val="20"/>
        </w:rPr>
      </w:pPr>
      <w:r>
        <w:rPr>
          <w:rFonts w:ascii="Arial" w:hAnsi="Arial" w:cs="Arial"/>
          <w:sz w:val="20"/>
          <w:szCs w:val="20"/>
        </w:rPr>
        <w:t>S</w:t>
      </w:r>
      <w:r w:rsidRPr="00665C29">
        <w:rPr>
          <w:rFonts w:ascii="Arial" w:hAnsi="Arial" w:cs="Arial"/>
          <w:sz w:val="20"/>
          <w:szCs w:val="20"/>
        </w:rPr>
        <w:t>ustainability in financial terms is embedded in the investment model and should not be regarded as an ancillary part of the process.</w:t>
      </w:r>
      <w:r w:rsidR="008032B2">
        <w:rPr>
          <w:rFonts w:ascii="Arial" w:hAnsi="Arial" w:cs="Arial"/>
          <w:sz w:val="20"/>
          <w:szCs w:val="20"/>
        </w:rPr>
        <w:br/>
      </w:r>
    </w:p>
    <w:p w14:paraId="526C8E81" w14:textId="1EF29CAA" w:rsidR="008032B2" w:rsidRDefault="008032B2" w:rsidP="005B42D1">
      <w:pPr>
        <w:pStyle w:val="ListParagraph"/>
        <w:numPr>
          <w:ilvl w:val="0"/>
          <w:numId w:val="4"/>
        </w:numPr>
        <w:rPr>
          <w:rFonts w:ascii="Arial" w:hAnsi="Arial" w:cs="Arial"/>
          <w:sz w:val="20"/>
          <w:szCs w:val="20"/>
        </w:rPr>
      </w:pPr>
      <w:r>
        <w:rPr>
          <w:rFonts w:ascii="Arial" w:hAnsi="Arial" w:cs="Arial"/>
          <w:sz w:val="20"/>
          <w:szCs w:val="20"/>
        </w:rPr>
        <w:t xml:space="preserve">There is a </w:t>
      </w:r>
      <w:r w:rsidR="00456C94">
        <w:rPr>
          <w:rFonts w:ascii="Arial" w:hAnsi="Arial" w:cs="Arial"/>
          <w:sz w:val="20"/>
          <w:szCs w:val="20"/>
        </w:rPr>
        <w:t xml:space="preserve">variety </w:t>
      </w:r>
      <w:r>
        <w:rPr>
          <w:rFonts w:ascii="Arial" w:hAnsi="Arial" w:cs="Arial"/>
          <w:sz w:val="20"/>
          <w:szCs w:val="20"/>
        </w:rPr>
        <w:t>of ESG investing approaches that exist in the market. Our survey findings showed that two primary methods have emerged as favored by investors</w:t>
      </w:r>
      <w:r w:rsidR="00456C94">
        <w:rPr>
          <w:rFonts w:ascii="Arial" w:hAnsi="Arial" w:cs="Arial"/>
          <w:sz w:val="20"/>
          <w:szCs w:val="20"/>
        </w:rPr>
        <w:t xml:space="preserve">: </w:t>
      </w:r>
      <w:r>
        <w:rPr>
          <w:rFonts w:ascii="Arial" w:hAnsi="Arial" w:cs="Arial"/>
          <w:sz w:val="20"/>
          <w:szCs w:val="20"/>
        </w:rPr>
        <w:t xml:space="preserve">ESG integration and positive screening – or “best-in-class”. </w:t>
      </w:r>
    </w:p>
    <w:p w14:paraId="2A3676E7" w14:textId="709E00B7" w:rsidR="008032B2" w:rsidRPr="008032B2" w:rsidRDefault="008032B2" w:rsidP="008032B2">
      <w:pPr>
        <w:pStyle w:val="ListParagraph"/>
        <w:numPr>
          <w:ilvl w:val="1"/>
          <w:numId w:val="4"/>
        </w:numPr>
        <w:rPr>
          <w:rFonts w:ascii="Arial" w:hAnsi="Arial" w:cs="Arial"/>
          <w:sz w:val="20"/>
          <w:szCs w:val="20"/>
        </w:rPr>
      </w:pPr>
      <w:r w:rsidRPr="008032B2">
        <w:rPr>
          <w:rFonts w:ascii="Arial" w:hAnsi="Arial" w:cs="Arial"/>
          <w:sz w:val="20"/>
          <w:szCs w:val="20"/>
        </w:rPr>
        <w:t>ESG integration explicitly considers ESG-related factors that are material to the risk and return of the investment, alongside traditional financial factors, when making investment decisions</w:t>
      </w:r>
      <w:r w:rsidR="00456C94">
        <w:rPr>
          <w:rFonts w:ascii="Arial" w:hAnsi="Arial" w:cs="Arial"/>
          <w:sz w:val="20"/>
          <w:szCs w:val="20"/>
        </w:rPr>
        <w:t>.</w:t>
      </w:r>
    </w:p>
    <w:p w14:paraId="4516B198" w14:textId="069B9ABA" w:rsidR="008032B2" w:rsidRPr="008032B2" w:rsidRDefault="008032B2" w:rsidP="008032B2">
      <w:pPr>
        <w:pStyle w:val="ListParagraph"/>
        <w:numPr>
          <w:ilvl w:val="1"/>
          <w:numId w:val="4"/>
        </w:numPr>
        <w:rPr>
          <w:rFonts w:ascii="Arial" w:hAnsi="Arial" w:cs="Arial"/>
          <w:sz w:val="20"/>
          <w:szCs w:val="20"/>
        </w:rPr>
      </w:pPr>
      <w:r w:rsidRPr="008032B2">
        <w:rPr>
          <w:rFonts w:ascii="Arial" w:hAnsi="Arial" w:cs="Arial"/>
          <w:sz w:val="20"/>
          <w:szCs w:val="20"/>
        </w:rPr>
        <w:t>Best-in-class aims to invest in companies and issuers that perform better than peers on one or more performance metrics related to ESG matters</w:t>
      </w:r>
      <w:r w:rsidR="00456C94">
        <w:rPr>
          <w:rFonts w:ascii="Arial" w:hAnsi="Arial" w:cs="Arial"/>
          <w:sz w:val="20"/>
          <w:szCs w:val="20"/>
        </w:rPr>
        <w:t>.</w:t>
      </w:r>
      <w:r w:rsidR="000F2823">
        <w:rPr>
          <w:rFonts w:ascii="Arial" w:hAnsi="Arial" w:cs="Arial"/>
          <w:sz w:val="20"/>
          <w:szCs w:val="20"/>
        </w:rPr>
        <w:t xml:space="preserve"> </w:t>
      </w:r>
      <w:r w:rsidR="000F2823" w:rsidRPr="000F2823">
        <w:rPr>
          <w:rFonts w:ascii="Arial" w:hAnsi="Arial" w:cs="Arial"/>
          <w:sz w:val="20"/>
          <w:szCs w:val="20"/>
        </w:rPr>
        <w:t>Some think of this as a form of “positive screening”, as opposed to negative screening or “ESG Exclusion” which excludes securities, issuers or companies based on certain ESG related or values-based considerations</w:t>
      </w:r>
    </w:p>
    <w:p w14:paraId="139786A3" w14:textId="0D90190B" w:rsidR="008032B2" w:rsidRPr="005B42D1" w:rsidRDefault="008032B2" w:rsidP="008032B2">
      <w:pPr>
        <w:pStyle w:val="ListParagraph"/>
        <w:numPr>
          <w:ilvl w:val="1"/>
          <w:numId w:val="4"/>
        </w:numPr>
        <w:rPr>
          <w:rFonts w:ascii="Arial" w:hAnsi="Arial" w:cs="Arial"/>
          <w:sz w:val="20"/>
          <w:szCs w:val="20"/>
        </w:rPr>
      </w:pPr>
      <w:r>
        <w:rPr>
          <w:rFonts w:ascii="Arial" w:hAnsi="Arial" w:cs="Arial"/>
          <w:sz w:val="20"/>
          <w:szCs w:val="20"/>
        </w:rPr>
        <w:t>P</w:t>
      </w:r>
      <w:r w:rsidRPr="008032B2">
        <w:rPr>
          <w:rFonts w:ascii="Arial" w:hAnsi="Arial" w:cs="Arial"/>
          <w:sz w:val="20"/>
          <w:szCs w:val="20"/>
        </w:rPr>
        <w:t>ositive screening is now more popular than negative screening</w:t>
      </w:r>
      <w:r w:rsidR="00456C94">
        <w:rPr>
          <w:rFonts w:ascii="Arial" w:hAnsi="Arial" w:cs="Arial"/>
          <w:sz w:val="20"/>
          <w:szCs w:val="20"/>
        </w:rPr>
        <w:t xml:space="preserve">, which had initially been </w:t>
      </w:r>
      <w:r w:rsidRPr="008032B2">
        <w:rPr>
          <w:rFonts w:ascii="Arial" w:hAnsi="Arial" w:cs="Arial"/>
          <w:sz w:val="20"/>
          <w:szCs w:val="20"/>
        </w:rPr>
        <w:t>the predominant approach.</w:t>
      </w:r>
    </w:p>
    <w:p w14:paraId="215D3C1C" w14:textId="2743E9A8" w:rsidR="00CF77C7" w:rsidRPr="00CF77C7" w:rsidRDefault="00CF77C7" w:rsidP="00CF77C7">
      <w:pPr>
        <w:rPr>
          <w:rFonts w:ascii="Arial" w:hAnsi="Arial" w:cs="Arial"/>
          <w:b/>
          <w:bCs/>
        </w:rPr>
      </w:pPr>
      <w:r w:rsidRPr="00CF77C7">
        <w:rPr>
          <w:rFonts w:ascii="Arial" w:hAnsi="Arial" w:cs="Arial"/>
          <w:b/>
          <w:bCs/>
        </w:rPr>
        <w:t>Enablers</w:t>
      </w:r>
    </w:p>
    <w:p w14:paraId="7A778D89" w14:textId="76E71AB9" w:rsidR="00C61755" w:rsidRPr="00C67708" w:rsidRDefault="00C61755" w:rsidP="00CF77C7">
      <w:pPr>
        <w:pStyle w:val="ListParagraph"/>
        <w:numPr>
          <w:ilvl w:val="0"/>
          <w:numId w:val="2"/>
        </w:numPr>
        <w:rPr>
          <w:rStyle w:val="normaltextrun"/>
          <w:rFonts w:ascii="Arial" w:hAnsi="Arial" w:cs="Arial"/>
          <w:sz w:val="20"/>
          <w:szCs w:val="20"/>
        </w:rPr>
      </w:pPr>
      <w:r w:rsidRPr="00C61755">
        <w:rPr>
          <w:rStyle w:val="normaltextrun"/>
          <w:rFonts w:ascii="Arial" w:hAnsi="Arial" w:cs="Arial"/>
          <w:sz w:val="20"/>
          <w:szCs w:val="20"/>
          <w:lang w:val="en-GB"/>
        </w:rPr>
        <w:t>The current reporting ecosystem has been a work in progress for more than a decade. There is a</w:t>
      </w:r>
      <w:r w:rsidR="00A55793">
        <w:rPr>
          <w:rStyle w:val="normaltextrun"/>
          <w:rFonts w:ascii="Arial" w:hAnsi="Arial" w:cs="Arial"/>
          <w:sz w:val="20"/>
          <w:szCs w:val="20"/>
          <w:lang w:val="en-GB"/>
        </w:rPr>
        <w:t xml:space="preserve"> high level of </w:t>
      </w:r>
      <w:r w:rsidRPr="00235FBC">
        <w:rPr>
          <w:rStyle w:val="normaltextrun"/>
          <w:rFonts w:ascii="Arial" w:hAnsi="Arial" w:cs="Arial"/>
          <w:sz w:val="20"/>
          <w:szCs w:val="20"/>
          <w:lang w:val="en-GB"/>
        </w:rPr>
        <w:t xml:space="preserve">dissatisfaction among investment industry stakeholders with the present </w:t>
      </w:r>
      <w:r w:rsidR="00A55793">
        <w:rPr>
          <w:rStyle w:val="normaltextrun"/>
          <w:rFonts w:ascii="Arial" w:hAnsi="Arial" w:cs="Arial"/>
          <w:sz w:val="20"/>
          <w:szCs w:val="20"/>
          <w:lang w:val="en-GB"/>
        </w:rPr>
        <w:t xml:space="preserve">status of </w:t>
      </w:r>
      <w:r w:rsidRPr="00235FBC">
        <w:rPr>
          <w:rStyle w:val="normaltextrun"/>
          <w:rFonts w:ascii="Arial" w:hAnsi="Arial" w:cs="Arial"/>
          <w:sz w:val="20"/>
          <w:szCs w:val="20"/>
          <w:lang w:val="en-GB"/>
        </w:rPr>
        <w:t xml:space="preserve">data and reporting. Going forward, we expect greater urgency from the industry to make </w:t>
      </w:r>
      <w:r w:rsidRPr="00235FBC">
        <w:rPr>
          <w:rStyle w:val="normaltextrun"/>
          <w:rFonts w:ascii="Arial" w:hAnsi="Arial" w:cs="Arial"/>
          <w:sz w:val="20"/>
          <w:szCs w:val="20"/>
          <w:lang w:val="en-GB"/>
        </w:rPr>
        <w:lastRenderedPageBreak/>
        <w:t>significant progress, with a stronger framework likely to emerge, albeit slowly.</w:t>
      </w:r>
      <w:r w:rsidR="00C67708">
        <w:rPr>
          <w:rStyle w:val="normaltextrun"/>
          <w:rFonts w:ascii="Arial" w:hAnsi="Arial" w:cs="Arial"/>
          <w:sz w:val="20"/>
          <w:szCs w:val="20"/>
          <w:lang w:val="en-GB"/>
        </w:rPr>
        <w:br/>
      </w:r>
    </w:p>
    <w:p w14:paraId="412300EB" w14:textId="386217DD" w:rsidR="00C67708" w:rsidRDefault="00C67708" w:rsidP="00CF77C7">
      <w:pPr>
        <w:pStyle w:val="ListParagraph"/>
        <w:numPr>
          <w:ilvl w:val="0"/>
          <w:numId w:val="2"/>
        </w:numPr>
        <w:rPr>
          <w:rStyle w:val="normaltextrun"/>
          <w:rFonts w:ascii="Arial" w:hAnsi="Arial" w:cs="Arial"/>
          <w:sz w:val="20"/>
          <w:szCs w:val="20"/>
        </w:rPr>
      </w:pPr>
      <w:r w:rsidRPr="00C67708">
        <w:rPr>
          <w:rStyle w:val="normaltextrun"/>
          <w:rFonts w:ascii="Arial" w:hAnsi="Arial" w:cs="Arial"/>
          <w:sz w:val="20"/>
          <w:szCs w:val="20"/>
        </w:rPr>
        <w:t>Sustainability analysis is currently dependent upon financial reporting, which is famously incomplete, and therefore needs to be supplemented with more current, alternative data sources.</w:t>
      </w:r>
      <w:r>
        <w:rPr>
          <w:rStyle w:val="normaltextrun"/>
          <w:rFonts w:ascii="Arial" w:hAnsi="Arial" w:cs="Arial"/>
          <w:sz w:val="20"/>
          <w:szCs w:val="20"/>
        </w:rPr>
        <w:t xml:space="preserve"> </w:t>
      </w:r>
    </w:p>
    <w:p w14:paraId="371ABDA0" w14:textId="2C560247" w:rsidR="00456C94" w:rsidRDefault="00C67708" w:rsidP="00456C94">
      <w:pPr>
        <w:pStyle w:val="ListParagraph"/>
        <w:numPr>
          <w:ilvl w:val="1"/>
          <w:numId w:val="2"/>
        </w:numPr>
        <w:rPr>
          <w:rStyle w:val="normaltextrun"/>
          <w:rFonts w:ascii="Arial" w:hAnsi="Arial" w:cs="Arial"/>
          <w:sz w:val="20"/>
          <w:szCs w:val="20"/>
        </w:rPr>
      </w:pPr>
      <w:r w:rsidRPr="00456C94">
        <w:rPr>
          <w:rStyle w:val="normaltextrun"/>
          <w:rFonts w:ascii="Arial" w:hAnsi="Arial" w:cs="Arial"/>
          <w:sz w:val="20"/>
          <w:szCs w:val="20"/>
        </w:rPr>
        <w:t xml:space="preserve">71% of </w:t>
      </w:r>
      <w:r w:rsidR="006E161C" w:rsidRPr="006E161C">
        <w:rPr>
          <w:rStyle w:val="normaltextrun"/>
          <w:rFonts w:ascii="Arial" w:hAnsi="Arial" w:cs="Arial"/>
          <w:sz w:val="20"/>
          <w:szCs w:val="20"/>
        </w:rPr>
        <w:t xml:space="preserve">industry roundtable respondents </w:t>
      </w:r>
      <w:r w:rsidRPr="00BC36F8">
        <w:rPr>
          <w:rStyle w:val="normaltextrun"/>
          <w:rFonts w:ascii="Arial" w:hAnsi="Arial" w:cs="Arial"/>
          <w:sz w:val="20"/>
          <w:szCs w:val="20"/>
        </w:rPr>
        <w:t xml:space="preserve">saw alternative data as benefiting the robustness of sustainability analysis, and 43% saw sustainability as benefiting from the application of artificial intelligence. </w:t>
      </w:r>
    </w:p>
    <w:p w14:paraId="0F508326" w14:textId="0B78DF49" w:rsidR="00C67708" w:rsidRPr="00BC36F8" w:rsidRDefault="00C67708" w:rsidP="00456C94">
      <w:pPr>
        <w:pStyle w:val="ListParagraph"/>
        <w:numPr>
          <w:ilvl w:val="1"/>
          <w:numId w:val="2"/>
        </w:numPr>
        <w:rPr>
          <w:rStyle w:val="normaltextrun"/>
          <w:rFonts w:ascii="Arial" w:hAnsi="Arial" w:cs="Arial"/>
          <w:sz w:val="20"/>
          <w:szCs w:val="20"/>
        </w:rPr>
      </w:pPr>
      <w:r w:rsidRPr="00456C94">
        <w:rPr>
          <w:rStyle w:val="normaltextrun"/>
          <w:rFonts w:ascii="Arial" w:hAnsi="Arial" w:cs="Arial"/>
          <w:sz w:val="20"/>
          <w:szCs w:val="20"/>
        </w:rPr>
        <w:t>Natural language processing and related programs are used to process data in some firms, but it will take time for data to become more structured and ESG analysts will need to be able to explain the significance of the output, combining human and artificial intelligence.</w:t>
      </w:r>
    </w:p>
    <w:p w14:paraId="07347ADD" w14:textId="77777777" w:rsidR="00C61755" w:rsidRPr="00235FBC" w:rsidRDefault="00C61755" w:rsidP="00C61755">
      <w:pPr>
        <w:pStyle w:val="ListParagraph"/>
        <w:rPr>
          <w:rFonts w:ascii="Arial" w:hAnsi="Arial" w:cs="Arial"/>
          <w:sz w:val="20"/>
          <w:szCs w:val="20"/>
        </w:rPr>
      </w:pPr>
    </w:p>
    <w:p w14:paraId="73678E1F" w14:textId="6261E229" w:rsidR="00CF77C7" w:rsidRPr="00235FBC" w:rsidRDefault="00C61755" w:rsidP="00CF77C7">
      <w:pPr>
        <w:pStyle w:val="ListParagraph"/>
        <w:numPr>
          <w:ilvl w:val="0"/>
          <w:numId w:val="2"/>
        </w:numPr>
        <w:rPr>
          <w:rFonts w:ascii="Arial" w:hAnsi="Arial" w:cs="Arial"/>
          <w:sz w:val="20"/>
          <w:szCs w:val="20"/>
        </w:rPr>
      </w:pPr>
      <w:r w:rsidRPr="00235FBC">
        <w:rPr>
          <w:rFonts w:ascii="Arial" w:hAnsi="Arial" w:cs="Arial"/>
          <w:sz w:val="20"/>
          <w:szCs w:val="20"/>
        </w:rPr>
        <w:t xml:space="preserve">Greenwashing exists across the investment industry ecosystem. </w:t>
      </w:r>
      <w:r w:rsidR="00CF77C7" w:rsidRPr="00235FBC">
        <w:rPr>
          <w:rFonts w:ascii="Arial" w:hAnsi="Arial" w:cs="Arial"/>
          <w:sz w:val="20"/>
          <w:szCs w:val="20"/>
        </w:rPr>
        <w:t xml:space="preserve">In fact, 78% of </w:t>
      </w:r>
      <w:r w:rsidR="00D35DA5">
        <w:rPr>
          <w:rFonts w:ascii="Arial" w:hAnsi="Arial" w:cs="Arial"/>
          <w:sz w:val="20"/>
          <w:szCs w:val="20"/>
        </w:rPr>
        <w:t xml:space="preserve">practitioners </w:t>
      </w:r>
      <w:r w:rsidR="00CF77C7" w:rsidRPr="00235FBC">
        <w:rPr>
          <w:rFonts w:ascii="Arial" w:hAnsi="Arial" w:cs="Arial"/>
          <w:sz w:val="20"/>
          <w:szCs w:val="20"/>
        </w:rPr>
        <w:t>surveyed think there is a need for standards to mitigate greenwashing.</w:t>
      </w:r>
    </w:p>
    <w:p w14:paraId="1C3F9DD0" w14:textId="77777777" w:rsidR="00C4242C" w:rsidRPr="00235FBC" w:rsidRDefault="00C4242C" w:rsidP="00C4242C">
      <w:pPr>
        <w:pStyle w:val="ListParagraph"/>
        <w:rPr>
          <w:rFonts w:ascii="Arial" w:hAnsi="Arial" w:cs="Arial"/>
          <w:sz w:val="20"/>
          <w:szCs w:val="20"/>
        </w:rPr>
      </w:pPr>
    </w:p>
    <w:p w14:paraId="39C02B08" w14:textId="1BC8A437" w:rsidR="00C4242C" w:rsidRPr="00235FBC" w:rsidRDefault="00C4242C" w:rsidP="00CF77C7">
      <w:pPr>
        <w:pStyle w:val="ListParagraph"/>
        <w:numPr>
          <w:ilvl w:val="0"/>
          <w:numId w:val="2"/>
        </w:numPr>
        <w:rPr>
          <w:rFonts w:ascii="Arial" w:hAnsi="Arial" w:cs="Arial"/>
          <w:sz w:val="20"/>
          <w:szCs w:val="20"/>
        </w:rPr>
      </w:pPr>
      <w:r w:rsidRPr="00235FBC">
        <w:rPr>
          <w:rFonts w:ascii="Arial" w:hAnsi="Arial" w:cs="Arial"/>
          <w:sz w:val="20"/>
          <w:szCs w:val="20"/>
        </w:rPr>
        <w:t>ESG factors should be integrated into the process, and it is a recipe for failure to simply have someone conduct an ESG review after the rest of the analysis has been done. All investment professionals need to understand risk, and it is the same with sustainability.</w:t>
      </w:r>
      <w:r w:rsidR="000F2823">
        <w:rPr>
          <w:rFonts w:ascii="Arial" w:hAnsi="Arial" w:cs="Arial"/>
          <w:sz w:val="20"/>
          <w:szCs w:val="20"/>
        </w:rPr>
        <w:t xml:space="preserve"> Investment professionals need to be able to contemplate risk associated with sustainability as part of a company or industry’s overall risk profile.</w:t>
      </w:r>
    </w:p>
    <w:p w14:paraId="481F262C" w14:textId="77777777" w:rsidR="00C4242C" w:rsidRPr="00235FBC" w:rsidRDefault="00C4242C" w:rsidP="00C4242C">
      <w:pPr>
        <w:pStyle w:val="ListParagraph"/>
        <w:rPr>
          <w:rFonts w:ascii="Arial" w:hAnsi="Arial" w:cs="Arial"/>
          <w:sz w:val="20"/>
          <w:szCs w:val="20"/>
        </w:rPr>
      </w:pPr>
    </w:p>
    <w:p w14:paraId="7AE541ED" w14:textId="46C587C6" w:rsidR="00C4242C" w:rsidRPr="00235FBC" w:rsidRDefault="00C4242C" w:rsidP="00CF77C7">
      <w:pPr>
        <w:pStyle w:val="ListParagraph"/>
        <w:numPr>
          <w:ilvl w:val="0"/>
          <w:numId w:val="2"/>
        </w:numPr>
        <w:rPr>
          <w:rFonts w:ascii="Arial" w:hAnsi="Arial" w:cs="Arial"/>
          <w:sz w:val="20"/>
          <w:szCs w:val="20"/>
        </w:rPr>
      </w:pPr>
      <w:r w:rsidRPr="00235FBC">
        <w:rPr>
          <w:rFonts w:ascii="Arial" w:hAnsi="Arial" w:cs="Arial"/>
          <w:sz w:val="20"/>
          <w:szCs w:val="20"/>
        </w:rPr>
        <w:t>The talent pool for ESG specialists is in high demand from a hiring standpoint</w:t>
      </w:r>
      <w:r w:rsidR="00456C94">
        <w:rPr>
          <w:rFonts w:ascii="Arial" w:hAnsi="Arial" w:cs="Arial"/>
          <w:sz w:val="20"/>
          <w:szCs w:val="20"/>
        </w:rPr>
        <w:t>, but sustainability expertise is relatively limited.</w:t>
      </w:r>
    </w:p>
    <w:p w14:paraId="17F8983C" w14:textId="77777777" w:rsidR="00235FBC" w:rsidRPr="00235FBC" w:rsidRDefault="00235FBC" w:rsidP="00235FBC">
      <w:pPr>
        <w:pStyle w:val="ListParagraph"/>
        <w:rPr>
          <w:rFonts w:ascii="Arial" w:hAnsi="Arial" w:cs="Arial"/>
          <w:sz w:val="20"/>
          <w:szCs w:val="20"/>
        </w:rPr>
      </w:pPr>
    </w:p>
    <w:p w14:paraId="312F8125" w14:textId="301306DC" w:rsidR="00BC36F8" w:rsidRDefault="00BC36F8" w:rsidP="00235FBC">
      <w:pPr>
        <w:pStyle w:val="ListParagraph"/>
        <w:numPr>
          <w:ilvl w:val="1"/>
          <w:numId w:val="2"/>
        </w:numPr>
        <w:rPr>
          <w:rFonts w:ascii="Arial" w:hAnsi="Arial" w:cs="Arial"/>
          <w:sz w:val="20"/>
          <w:szCs w:val="20"/>
        </w:rPr>
      </w:pPr>
      <w:r>
        <w:rPr>
          <w:rFonts w:ascii="Arial" w:hAnsi="Arial" w:cs="Arial"/>
          <w:sz w:val="20"/>
          <w:szCs w:val="20"/>
        </w:rPr>
        <w:t>O</w:t>
      </w:r>
      <w:r w:rsidR="00456C94">
        <w:rPr>
          <w:rFonts w:ascii="Arial" w:hAnsi="Arial" w:cs="Arial"/>
          <w:sz w:val="20"/>
          <w:szCs w:val="20"/>
        </w:rPr>
        <w:t xml:space="preserve">f </w:t>
      </w:r>
      <w:r>
        <w:rPr>
          <w:rFonts w:ascii="Arial" w:hAnsi="Arial" w:cs="Arial"/>
          <w:sz w:val="20"/>
          <w:szCs w:val="20"/>
        </w:rPr>
        <w:t>the 1 million+</w:t>
      </w:r>
      <w:r w:rsidR="00456C94">
        <w:rPr>
          <w:rFonts w:ascii="Arial" w:hAnsi="Arial" w:cs="Arial"/>
          <w:sz w:val="20"/>
          <w:szCs w:val="20"/>
        </w:rPr>
        <w:t xml:space="preserve"> core investment profiles we analyzed on LinkedIn</w:t>
      </w:r>
      <w:r>
        <w:rPr>
          <w:rFonts w:ascii="Arial" w:hAnsi="Arial" w:cs="Arial"/>
          <w:sz w:val="20"/>
          <w:szCs w:val="20"/>
        </w:rPr>
        <w:t>, less than 1%</w:t>
      </w:r>
      <w:r w:rsidR="00456C94">
        <w:rPr>
          <w:rFonts w:ascii="Arial" w:hAnsi="Arial" w:cs="Arial"/>
          <w:sz w:val="20"/>
          <w:szCs w:val="20"/>
        </w:rPr>
        <w:t xml:space="preserve"> had sustainability expertise, but it is growing quickly</w:t>
      </w:r>
      <w:r>
        <w:rPr>
          <w:rFonts w:ascii="Arial" w:hAnsi="Arial" w:cs="Arial"/>
          <w:sz w:val="20"/>
          <w:szCs w:val="20"/>
        </w:rPr>
        <w:t xml:space="preserve"> (up 26% in the last year)</w:t>
      </w:r>
      <w:r w:rsidR="00456C94">
        <w:rPr>
          <w:rFonts w:ascii="Arial" w:hAnsi="Arial" w:cs="Arial"/>
          <w:sz w:val="20"/>
          <w:szCs w:val="20"/>
        </w:rPr>
        <w:t>.</w:t>
      </w:r>
      <w:r>
        <w:rPr>
          <w:rFonts w:ascii="Arial" w:hAnsi="Arial" w:cs="Arial"/>
          <w:sz w:val="20"/>
          <w:szCs w:val="20"/>
        </w:rPr>
        <w:t xml:space="preserve"> </w:t>
      </w:r>
    </w:p>
    <w:p w14:paraId="0EE23ADB" w14:textId="22F69B7C" w:rsidR="00235FBC" w:rsidRPr="00235FBC" w:rsidRDefault="00BC36F8" w:rsidP="00235FBC">
      <w:pPr>
        <w:pStyle w:val="ListParagraph"/>
        <w:numPr>
          <w:ilvl w:val="1"/>
          <w:numId w:val="2"/>
        </w:numPr>
        <w:rPr>
          <w:rFonts w:ascii="Arial" w:hAnsi="Arial" w:cs="Arial"/>
          <w:sz w:val="20"/>
          <w:szCs w:val="20"/>
        </w:rPr>
      </w:pPr>
      <w:r>
        <w:rPr>
          <w:rFonts w:ascii="Arial" w:hAnsi="Arial" w:cs="Arial"/>
          <w:sz w:val="20"/>
          <w:szCs w:val="20"/>
        </w:rPr>
        <w:t>Meanwhile, n</w:t>
      </w:r>
      <w:r w:rsidR="00456C94">
        <w:rPr>
          <w:rFonts w:ascii="Arial" w:hAnsi="Arial" w:cs="Arial"/>
          <w:sz w:val="20"/>
          <w:szCs w:val="20"/>
        </w:rPr>
        <w:t xml:space="preserve">early 20% of all portfolio manager job postings were </w:t>
      </w:r>
      <w:r>
        <w:rPr>
          <w:rFonts w:ascii="Arial" w:hAnsi="Arial" w:cs="Arial"/>
          <w:sz w:val="20"/>
          <w:szCs w:val="20"/>
        </w:rPr>
        <w:t>seeking</w:t>
      </w:r>
      <w:r w:rsidR="00456C94">
        <w:rPr>
          <w:rFonts w:ascii="Arial" w:hAnsi="Arial" w:cs="Arial"/>
          <w:sz w:val="20"/>
          <w:szCs w:val="20"/>
        </w:rPr>
        <w:t xml:space="preserve"> sustainability expertise.</w:t>
      </w:r>
    </w:p>
    <w:p w14:paraId="1D9931B0" w14:textId="4019C798" w:rsidR="003C5998" w:rsidRDefault="00235FBC" w:rsidP="003C5998">
      <w:pPr>
        <w:pStyle w:val="ListParagraph"/>
        <w:numPr>
          <w:ilvl w:val="1"/>
          <w:numId w:val="2"/>
        </w:numPr>
        <w:rPr>
          <w:rFonts w:ascii="Arial" w:hAnsi="Arial" w:cs="Arial"/>
          <w:sz w:val="20"/>
          <w:szCs w:val="20"/>
        </w:rPr>
      </w:pPr>
      <w:r w:rsidRPr="00235FBC">
        <w:rPr>
          <w:rFonts w:ascii="Arial" w:hAnsi="Arial" w:cs="Arial"/>
          <w:sz w:val="20"/>
          <w:szCs w:val="20"/>
        </w:rPr>
        <w:t>When trying to attract and retain talent, a clear commitment to sustainability and demonstrated adherence to those commitments can help. Many employees want to work at an organization that makes a difference and one that has values they agree with</w:t>
      </w:r>
      <w:r w:rsidR="003C5998">
        <w:rPr>
          <w:rFonts w:ascii="Arial" w:hAnsi="Arial" w:cs="Arial"/>
          <w:sz w:val="20"/>
          <w:szCs w:val="20"/>
        </w:rPr>
        <w:t xml:space="preserve">. </w:t>
      </w:r>
    </w:p>
    <w:p w14:paraId="1A25EAD7" w14:textId="164FD835" w:rsidR="003C5998" w:rsidRDefault="003C5998" w:rsidP="003C5998">
      <w:pPr>
        <w:pStyle w:val="ListParagraph"/>
        <w:numPr>
          <w:ilvl w:val="1"/>
          <w:numId w:val="2"/>
        </w:numPr>
        <w:rPr>
          <w:rFonts w:ascii="Arial" w:hAnsi="Arial" w:cs="Arial"/>
          <w:sz w:val="20"/>
          <w:szCs w:val="20"/>
        </w:rPr>
      </w:pPr>
      <w:r w:rsidRPr="003C5998">
        <w:rPr>
          <w:rFonts w:ascii="Arial" w:hAnsi="Arial" w:cs="Arial"/>
          <w:sz w:val="20"/>
          <w:szCs w:val="20"/>
        </w:rPr>
        <w:t>Women represent 42% of ESG analysts, which is much higher than the 26% of women overall in the sample.</w:t>
      </w:r>
    </w:p>
    <w:p w14:paraId="250BADDD" w14:textId="77777777" w:rsidR="009B6E0F" w:rsidRPr="009B6E0F" w:rsidRDefault="009B6E0F" w:rsidP="009B6E0F">
      <w:pPr>
        <w:pStyle w:val="ListParagraph"/>
        <w:rPr>
          <w:rFonts w:ascii="Arial" w:hAnsi="Arial" w:cs="Arial"/>
          <w:sz w:val="20"/>
          <w:szCs w:val="20"/>
        </w:rPr>
      </w:pPr>
    </w:p>
    <w:p w14:paraId="58F3EF72" w14:textId="77777777" w:rsidR="000F2823" w:rsidRDefault="0026292D" w:rsidP="000F2823">
      <w:pPr>
        <w:pStyle w:val="ListParagraph"/>
        <w:numPr>
          <w:ilvl w:val="0"/>
          <w:numId w:val="2"/>
        </w:numPr>
        <w:rPr>
          <w:rStyle w:val="normaltextrun"/>
          <w:rFonts w:ascii="Arial" w:hAnsi="Arial" w:cs="Arial"/>
          <w:sz w:val="20"/>
          <w:szCs w:val="20"/>
        </w:rPr>
      </w:pPr>
      <w:r w:rsidRPr="0026292D">
        <w:rPr>
          <w:rStyle w:val="normaltextrun"/>
          <w:rFonts w:ascii="Arial" w:hAnsi="Arial" w:cs="Arial"/>
          <w:sz w:val="20"/>
          <w:szCs w:val="20"/>
        </w:rPr>
        <w:t>Training in ESG has increased, but still fewer than half</w:t>
      </w:r>
      <w:r>
        <w:rPr>
          <w:rStyle w:val="normaltextrun"/>
          <w:rFonts w:ascii="Arial" w:hAnsi="Arial" w:cs="Arial"/>
          <w:sz w:val="20"/>
          <w:szCs w:val="20"/>
        </w:rPr>
        <w:t xml:space="preserve"> </w:t>
      </w:r>
      <w:r w:rsidRPr="0026292D">
        <w:rPr>
          <w:rStyle w:val="normaltextrun"/>
          <w:rFonts w:ascii="Arial" w:hAnsi="Arial" w:cs="Arial"/>
          <w:sz w:val="20"/>
          <w:szCs w:val="20"/>
        </w:rPr>
        <w:t>of respondents say their firm provides ESG training. Only 11% of</w:t>
      </w:r>
      <w:r>
        <w:rPr>
          <w:rStyle w:val="normaltextrun"/>
          <w:rFonts w:ascii="Arial" w:hAnsi="Arial" w:cs="Arial"/>
          <w:sz w:val="20"/>
          <w:szCs w:val="20"/>
        </w:rPr>
        <w:t xml:space="preserve"> </w:t>
      </w:r>
      <w:r w:rsidRPr="0026292D">
        <w:rPr>
          <w:rStyle w:val="normaltextrun"/>
          <w:rFonts w:ascii="Arial" w:hAnsi="Arial" w:cs="Arial"/>
          <w:sz w:val="20"/>
          <w:szCs w:val="20"/>
        </w:rPr>
        <w:t>respondents consider themselves proficient in the area, but an equal</w:t>
      </w:r>
      <w:r>
        <w:rPr>
          <w:rStyle w:val="normaltextrun"/>
          <w:rFonts w:ascii="Arial" w:hAnsi="Arial" w:cs="Arial"/>
          <w:sz w:val="20"/>
          <w:szCs w:val="20"/>
        </w:rPr>
        <w:t xml:space="preserve"> </w:t>
      </w:r>
      <w:r w:rsidRPr="0026292D">
        <w:rPr>
          <w:rStyle w:val="normaltextrun"/>
          <w:rFonts w:ascii="Arial" w:hAnsi="Arial" w:cs="Arial"/>
          <w:sz w:val="20"/>
          <w:szCs w:val="20"/>
        </w:rPr>
        <w:t>number are currently being trained, and more than 70% have interest i</w:t>
      </w:r>
      <w:r>
        <w:rPr>
          <w:rStyle w:val="normaltextrun"/>
          <w:rFonts w:ascii="Arial" w:hAnsi="Arial" w:cs="Arial"/>
          <w:sz w:val="20"/>
          <w:szCs w:val="20"/>
        </w:rPr>
        <w:t xml:space="preserve">n </w:t>
      </w:r>
      <w:r w:rsidRPr="0026292D">
        <w:rPr>
          <w:rStyle w:val="normaltextrun"/>
          <w:rFonts w:ascii="Arial" w:hAnsi="Arial" w:cs="Arial"/>
          <w:sz w:val="20"/>
          <w:szCs w:val="20"/>
        </w:rPr>
        <w:t>training — half of these within the next year.</w:t>
      </w:r>
    </w:p>
    <w:p w14:paraId="102636A9" w14:textId="4A091192" w:rsidR="009B6E0F" w:rsidRPr="000F2823" w:rsidRDefault="009B6E0F" w:rsidP="000F2823">
      <w:pPr>
        <w:rPr>
          <w:rStyle w:val="normaltextrun"/>
          <w:rFonts w:ascii="Arial" w:hAnsi="Arial" w:cs="Arial"/>
          <w:sz w:val="20"/>
          <w:szCs w:val="20"/>
        </w:rPr>
      </w:pPr>
      <w:r w:rsidRPr="000F2823">
        <w:rPr>
          <w:rStyle w:val="normaltextrun"/>
          <w:rFonts w:ascii="Arial" w:hAnsi="Arial" w:cs="Arial"/>
          <w:b/>
          <w:bCs/>
        </w:rPr>
        <w:t>Actions Needed</w:t>
      </w:r>
    </w:p>
    <w:p w14:paraId="6D03B0ED" w14:textId="5BC4E05F" w:rsidR="005B50F0" w:rsidRPr="000F2823" w:rsidRDefault="005B50F0" w:rsidP="005B50F0">
      <w:pPr>
        <w:pStyle w:val="ListParagraph"/>
        <w:numPr>
          <w:ilvl w:val="0"/>
          <w:numId w:val="2"/>
        </w:numPr>
        <w:rPr>
          <w:rStyle w:val="normaltextrun"/>
          <w:rFonts w:ascii="Arial" w:hAnsi="Arial" w:cs="Arial"/>
          <w:sz w:val="20"/>
          <w:szCs w:val="20"/>
        </w:rPr>
      </w:pPr>
      <w:r w:rsidRPr="000F2823">
        <w:rPr>
          <w:rStyle w:val="normaltextrun"/>
          <w:rFonts w:ascii="Arial" w:hAnsi="Arial" w:cs="Arial"/>
          <w:sz w:val="20"/>
          <w:szCs w:val="20"/>
        </w:rPr>
        <w:t xml:space="preserve">We introduce a rubric for progress, which provides a </w:t>
      </w:r>
      <w:r w:rsidR="00262AF7" w:rsidRPr="000F2823">
        <w:rPr>
          <w:rStyle w:val="normaltextrun"/>
          <w:rFonts w:ascii="Arial" w:hAnsi="Arial" w:cs="Arial"/>
          <w:b/>
          <w:bCs/>
          <w:sz w:val="20"/>
          <w:szCs w:val="20"/>
        </w:rPr>
        <w:t>grade</w:t>
      </w:r>
      <w:r w:rsidR="00262AF7" w:rsidRPr="000F2823">
        <w:rPr>
          <w:rStyle w:val="normaltextrun"/>
          <w:rFonts w:ascii="Arial" w:hAnsi="Arial" w:cs="Arial"/>
          <w:sz w:val="20"/>
          <w:szCs w:val="20"/>
        </w:rPr>
        <w:t xml:space="preserve"> and a </w:t>
      </w:r>
      <w:r w:rsidRPr="000F2823">
        <w:rPr>
          <w:rStyle w:val="normaltextrun"/>
          <w:rFonts w:ascii="Arial" w:hAnsi="Arial" w:cs="Arial"/>
          <w:b/>
          <w:bCs/>
          <w:sz w:val="20"/>
          <w:szCs w:val="20"/>
        </w:rPr>
        <w:t>guide</w:t>
      </w:r>
      <w:r w:rsidRPr="000F2823">
        <w:rPr>
          <w:rStyle w:val="normaltextrun"/>
          <w:rFonts w:ascii="Arial" w:hAnsi="Arial" w:cs="Arial"/>
          <w:sz w:val="20"/>
          <w:szCs w:val="20"/>
        </w:rPr>
        <w:t xml:space="preserve"> to improve performance. There are six elements:</w:t>
      </w:r>
    </w:p>
    <w:p w14:paraId="454F178B" w14:textId="15624863" w:rsidR="005B50F0" w:rsidRPr="000F2823" w:rsidRDefault="005B50F0" w:rsidP="005B50F0">
      <w:pPr>
        <w:pStyle w:val="ListParagraph"/>
        <w:numPr>
          <w:ilvl w:val="1"/>
          <w:numId w:val="2"/>
        </w:numPr>
        <w:rPr>
          <w:rStyle w:val="normaltextrun"/>
          <w:rFonts w:ascii="Arial" w:hAnsi="Arial" w:cs="Arial"/>
          <w:sz w:val="20"/>
          <w:szCs w:val="20"/>
        </w:rPr>
      </w:pPr>
      <w:r w:rsidRPr="000F2823">
        <w:rPr>
          <w:rStyle w:val="normaltextrun"/>
          <w:rFonts w:ascii="Arial" w:hAnsi="Arial" w:cs="Arial"/>
          <w:sz w:val="20"/>
          <w:szCs w:val="20"/>
        </w:rPr>
        <w:t xml:space="preserve">The first two relate to investment </w:t>
      </w:r>
      <w:r w:rsidRPr="000F2823">
        <w:rPr>
          <w:rStyle w:val="normaltextrun"/>
          <w:rFonts w:ascii="Arial" w:hAnsi="Arial" w:cs="Arial"/>
          <w:i/>
          <w:iCs/>
          <w:sz w:val="20"/>
          <w:szCs w:val="20"/>
        </w:rPr>
        <w:t>thinking</w:t>
      </w:r>
      <w:r w:rsidRPr="000F2823">
        <w:rPr>
          <w:rStyle w:val="normaltextrun"/>
          <w:rFonts w:ascii="Arial" w:hAnsi="Arial" w:cs="Arial"/>
          <w:sz w:val="20"/>
          <w:szCs w:val="20"/>
        </w:rPr>
        <w:t>.</w:t>
      </w:r>
    </w:p>
    <w:p w14:paraId="7A9B4A98" w14:textId="77777777" w:rsidR="005B50F0" w:rsidRPr="000F2823" w:rsidRDefault="005B50F0" w:rsidP="005B50F0">
      <w:pPr>
        <w:pStyle w:val="ListParagraph"/>
        <w:numPr>
          <w:ilvl w:val="2"/>
          <w:numId w:val="2"/>
        </w:numPr>
        <w:rPr>
          <w:rStyle w:val="normaltextrun"/>
          <w:rFonts w:ascii="Arial" w:hAnsi="Arial" w:cs="Arial"/>
          <w:sz w:val="20"/>
          <w:szCs w:val="20"/>
        </w:rPr>
      </w:pPr>
      <w:r w:rsidRPr="000F2823">
        <w:rPr>
          <w:rStyle w:val="normaltextrun"/>
          <w:rFonts w:ascii="Arial" w:hAnsi="Arial" w:cs="Arial"/>
          <w:b/>
          <w:bCs/>
          <w:sz w:val="20"/>
          <w:szCs w:val="20"/>
        </w:rPr>
        <w:t>ESG education</w:t>
      </w:r>
      <w:r w:rsidRPr="000F2823">
        <w:rPr>
          <w:rStyle w:val="normaltextrun"/>
          <w:rFonts w:ascii="Arial" w:hAnsi="Arial" w:cs="Arial"/>
          <w:sz w:val="20"/>
          <w:szCs w:val="20"/>
        </w:rPr>
        <w:t>: Sustainability knowledge and skills must be developed to a critical threshold across the industry so that ESG thinking is embedded in all investment settings.</w:t>
      </w:r>
    </w:p>
    <w:p w14:paraId="06EE7556" w14:textId="2AE08D21" w:rsidR="005B50F0" w:rsidRPr="000F2823" w:rsidRDefault="005B50F0" w:rsidP="005B50F0">
      <w:pPr>
        <w:pStyle w:val="ListParagraph"/>
        <w:numPr>
          <w:ilvl w:val="2"/>
          <w:numId w:val="2"/>
        </w:numPr>
        <w:rPr>
          <w:rStyle w:val="normaltextrun"/>
          <w:rFonts w:ascii="Arial" w:hAnsi="Arial" w:cs="Arial"/>
          <w:sz w:val="20"/>
          <w:szCs w:val="20"/>
        </w:rPr>
      </w:pPr>
      <w:r w:rsidRPr="000F2823">
        <w:rPr>
          <w:rStyle w:val="normaltextrun"/>
          <w:rFonts w:ascii="Arial" w:hAnsi="Arial" w:cs="Arial"/>
          <w:b/>
          <w:bCs/>
          <w:sz w:val="20"/>
          <w:szCs w:val="20"/>
        </w:rPr>
        <w:t>System-level thinking</w:t>
      </w:r>
      <w:r w:rsidRPr="000F2823">
        <w:rPr>
          <w:rStyle w:val="normaltextrun"/>
          <w:rFonts w:ascii="Arial" w:hAnsi="Arial" w:cs="Arial"/>
          <w:sz w:val="20"/>
          <w:szCs w:val="20"/>
        </w:rPr>
        <w:t>: Investment professionals need to understand the main features of systems theory and use this thinking when considering sustainability topics</w:t>
      </w:r>
      <w:r w:rsidR="00262AF7" w:rsidRPr="000F2823">
        <w:rPr>
          <w:rStyle w:val="normaltextrun"/>
          <w:rFonts w:ascii="Arial" w:hAnsi="Arial" w:cs="Arial"/>
          <w:sz w:val="20"/>
          <w:szCs w:val="20"/>
        </w:rPr>
        <w:t>.</w:t>
      </w:r>
    </w:p>
    <w:p w14:paraId="0A4F88A1" w14:textId="6230E491" w:rsidR="005B50F0" w:rsidRPr="000F2823" w:rsidRDefault="005B50F0" w:rsidP="005B50F0">
      <w:pPr>
        <w:pStyle w:val="ListParagraph"/>
        <w:numPr>
          <w:ilvl w:val="1"/>
          <w:numId w:val="2"/>
        </w:numPr>
        <w:rPr>
          <w:rStyle w:val="normaltextrun"/>
          <w:rFonts w:ascii="Arial" w:hAnsi="Arial" w:cs="Arial"/>
          <w:sz w:val="20"/>
          <w:szCs w:val="20"/>
        </w:rPr>
      </w:pPr>
      <w:r w:rsidRPr="000F2823">
        <w:rPr>
          <w:rStyle w:val="normaltextrun"/>
          <w:rFonts w:ascii="Arial" w:hAnsi="Arial" w:cs="Arial"/>
          <w:sz w:val="20"/>
          <w:szCs w:val="20"/>
        </w:rPr>
        <w:t xml:space="preserve">The next two relate to the </w:t>
      </w:r>
      <w:r w:rsidRPr="000F2823">
        <w:rPr>
          <w:rStyle w:val="normaltextrun"/>
          <w:rFonts w:ascii="Arial" w:hAnsi="Arial" w:cs="Arial"/>
          <w:i/>
          <w:iCs/>
          <w:sz w:val="20"/>
          <w:szCs w:val="20"/>
        </w:rPr>
        <w:t>technologies</w:t>
      </w:r>
      <w:r w:rsidRPr="000F2823">
        <w:rPr>
          <w:rStyle w:val="normaltextrun"/>
          <w:rFonts w:ascii="Arial" w:hAnsi="Arial" w:cs="Arial"/>
          <w:sz w:val="20"/>
          <w:szCs w:val="20"/>
        </w:rPr>
        <w:t xml:space="preserve"> and ne</w:t>
      </w:r>
      <w:r w:rsidR="00677179" w:rsidRPr="000F2823">
        <w:rPr>
          <w:rStyle w:val="normaltextrun"/>
          <w:rFonts w:ascii="Arial" w:hAnsi="Arial" w:cs="Arial"/>
          <w:sz w:val="20"/>
          <w:szCs w:val="20"/>
        </w:rPr>
        <w:t>tworks needed for success.</w:t>
      </w:r>
    </w:p>
    <w:p w14:paraId="08BD66CC" w14:textId="6B90AF65" w:rsidR="00677179" w:rsidRPr="000F2823" w:rsidRDefault="00677179" w:rsidP="00677179">
      <w:pPr>
        <w:pStyle w:val="ListParagraph"/>
        <w:numPr>
          <w:ilvl w:val="2"/>
          <w:numId w:val="2"/>
        </w:numPr>
        <w:rPr>
          <w:rStyle w:val="normaltextrun"/>
          <w:rFonts w:ascii="Arial" w:hAnsi="Arial" w:cs="Arial"/>
          <w:sz w:val="20"/>
          <w:szCs w:val="20"/>
        </w:rPr>
      </w:pPr>
      <w:r w:rsidRPr="000F2823">
        <w:rPr>
          <w:rStyle w:val="normaltextrun"/>
          <w:rFonts w:ascii="Arial" w:hAnsi="Arial" w:cs="Arial"/>
          <w:b/>
          <w:bCs/>
          <w:sz w:val="20"/>
          <w:szCs w:val="20"/>
        </w:rPr>
        <w:lastRenderedPageBreak/>
        <w:t>Collaboration synergy</w:t>
      </w:r>
      <w:r w:rsidRPr="000F2823">
        <w:rPr>
          <w:rStyle w:val="normaltextrun"/>
          <w:rFonts w:ascii="Arial" w:hAnsi="Arial" w:cs="Arial"/>
          <w:sz w:val="20"/>
          <w:szCs w:val="20"/>
        </w:rPr>
        <w:t>: Strengthened collaborations within and across organizations drive engagement and combinatorial power. Sustainability is an area where working together creates more benefits</w:t>
      </w:r>
      <w:r w:rsidR="00262AF7" w:rsidRPr="000F2823">
        <w:rPr>
          <w:rStyle w:val="normaltextrun"/>
          <w:rFonts w:ascii="Arial" w:hAnsi="Arial" w:cs="Arial"/>
          <w:sz w:val="20"/>
          <w:szCs w:val="20"/>
        </w:rPr>
        <w:t xml:space="preserve"> than anyone working alone could</w:t>
      </w:r>
      <w:r w:rsidRPr="000F2823">
        <w:rPr>
          <w:rStyle w:val="normaltextrun"/>
          <w:rFonts w:ascii="Arial" w:hAnsi="Arial" w:cs="Arial"/>
          <w:sz w:val="20"/>
          <w:szCs w:val="20"/>
        </w:rPr>
        <w:t>.</w:t>
      </w:r>
    </w:p>
    <w:p w14:paraId="2F255601" w14:textId="37DFC860" w:rsidR="00677179" w:rsidRPr="000F2823" w:rsidRDefault="00677179" w:rsidP="00677179">
      <w:pPr>
        <w:pStyle w:val="ListParagraph"/>
        <w:numPr>
          <w:ilvl w:val="2"/>
          <w:numId w:val="2"/>
        </w:numPr>
        <w:rPr>
          <w:rStyle w:val="normaltextrun"/>
          <w:rFonts w:ascii="Arial" w:hAnsi="Arial" w:cs="Arial"/>
          <w:sz w:val="20"/>
          <w:szCs w:val="20"/>
        </w:rPr>
      </w:pPr>
      <w:r w:rsidRPr="000F2823">
        <w:rPr>
          <w:rStyle w:val="normaltextrun"/>
          <w:rFonts w:ascii="Arial" w:hAnsi="Arial" w:cs="Arial"/>
          <w:b/>
          <w:bCs/>
          <w:sz w:val="20"/>
          <w:szCs w:val="20"/>
        </w:rPr>
        <w:t>ESG data</w:t>
      </w:r>
      <w:r w:rsidRPr="000F2823">
        <w:rPr>
          <w:rStyle w:val="normaltextrun"/>
          <w:rFonts w:ascii="Arial" w:hAnsi="Arial" w:cs="Arial"/>
          <w:sz w:val="20"/>
          <w:szCs w:val="20"/>
        </w:rPr>
        <w:t>: ESG data practices need to be further developed to support more substantial decision-useful application, and we expect a shift in the coming years where data go from being part of the sustainability problem to an important part of the solution.</w:t>
      </w:r>
    </w:p>
    <w:p w14:paraId="1F16E278" w14:textId="4E813AE2" w:rsidR="00677179" w:rsidRPr="000F2823" w:rsidRDefault="00677179" w:rsidP="00677179">
      <w:pPr>
        <w:pStyle w:val="ListParagraph"/>
        <w:numPr>
          <w:ilvl w:val="1"/>
          <w:numId w:val="2"/>
        </w:numPr>
        <w:rPr>
          <w:rStyle w:val="normaltextrun"/>
          <w:rFonts w:ascii="Arial" w:hAnsi="Arial" w:cs="Arial"/>
          <w:sz w:val="20"/>
          <w:szCs w:val="20"/>
        </w:rPr>
      </w:pPr>
      <w:r w:rsidRPr="000F2823">
        <w:rPr>
          <w:rStyle w:val="normaltextrun"/>
          <w:rFonts w:ascii="Arial" w:hAnsi="Arial" w:cs="Arial"/>
          <w:sz w:val="20"/>
          <w:szCs w:val="20"/>
        </w:rPr>
        <w:t xml:space="preserve">The last two relate to </w:t>
      </w:r>
      <w:r w:rsidRPr="000F2823">
        <w:rPr>
          <w:rStyle w:val="normaltextrun"/>
          <w:rFonts w:ascii="Arial" w:hAnsi="Arial" w:cs="Arial"/>
          <w:i/>
          <w:iCs/>
          <w:sz w:val="20"/>
          <w:szCs w:val="20"/>
        </w:rPr>
        <w:t>teamwork</w:t>
      </w:r>
      <w:r w:rsidRPr="000F2823">
        <w:rPr>
          <w:rStyle w:val="normaltextrun"/>
          <w:rFonts w:ascii="Arial" w:hAnsi="Arial" w:cs="Arial"/>
          <w:sz w:val="20"/>
          <w:szCs w:val="20"/>
        </w:rPr>
        <w:t xml:space="preserve"> and culture.</w:t>
      </w:r>
    </w:p>
    <w:p w14:paraId="4EBCCEA9" w14:textId="736B1351" w:rsidR="00677179" w:rsidRPr="000F2823" w:rsidRDefault="00677179" w:rsidP="00677179">
      <w:pPr>
        <w:pStyle w:val="ListParagraph"/>
        <w:numPr>
          <w:ilvl w:val="2"/>
          <w:numId w:val="2"/>
        </w:numPr>
        <w:rPr>
          <w:rStyle w:val="normaltextrun"/>
          <w:rFonts w:ascii="Arial" w:hAnsi="Arial" w:cs="Arial"/>
          <w:sz w:val="20"/>
          <w:szCs w:val="20"/>
        </w:rPr>
      </w:pPr>
      <w:r w:rsidRPr="000F2823">
        <w:rPr>
          <w:rStyle w:val="normaltextrun"/>
          <w:rFonts w:ascii="Arial" w:hAnsi="Arial" w:cs="Arial"/>
          <w:b/>
          <w:bCs/>
          <w:sz w:val="20"/>
          <w:szCs w:val="20"/>
        </w:rPr>
        <w:t>Sustainability innovation:</w:t>
      </w:r>
      <w:r w:rsidRPr="000F2823">
        <w:rPr>
          <w:rFonts w:ascii="Arial" w:hAnsi="Arial" w:cs="Arial"/>
          <w:sz w:val="20"/>
          <w:szCs w:val="20"/>
        </w:rPr>
        <w:t xml:space="preserve"> Organizations can </w:t>
      </w:r>
      <w:r w:rsidRPr="000F2823">
        <w:rPr>
          <w:rStyle w:val="normaltextrun"/>
          <w:rFonts w:ascii="Arial" w:hAnsi="Arial" w:cs="Arial"/>
          <w:sz w:val="20"/>
          <w:szCs w:val="20"/>
        </w:rPr>
        <w:t>demonstrate commitment to sustainability innovation through organizational agility in people and processes and iterative improvements.</w:t>
      </w:r>
    </w:p>
    <w:p w14:paraId="6DD0F738" w14:textId="45D1A5A8" w:rsidR="00677179" w:rsidRPr="000F2823" w:rsidRDefault="00677179" w:rsidP="00677179">
      <w:pPr>
        <w:pStyle w:val="ListParagraph"/>
        <w:numPr>
          <w:ilvl w:val="2"/>
          <w:numId w:val="2"/>
        </w:numPr>
        <w:rPr>
          <w:rStyle w:val="normaltextrun"/>
          <w:rFonts w:ascii="Arial" w:hAnsi="Arial" w:cs="Arial"/>
          <w:sz w:val="20"/>
          <w:szCs w:val="20"/>
        </w:rPr>
      </w:pPr>
      <w:r w:rsidRPr="000F2823">
        <w:rPr>
          <w:rStyle w:val="normaltextrun"/>
          <w:rFonts w:ascii="Arial" w:hAnsi="Arial" w:cs="Arial"/>
          <w:b/>
          <w:bCs/>
          <w:sz w:val="20"/>
          <w:szCs w:val="20"/>
        </w:rPr>
        <w:t>Purposeful culture:</w:t>
      </w:r>
      <w:r w:rsidRPr="000F2823">
        <w:rPr>
          <w:rStyle w:val="normaltextrun"/>
          <w:rFonts w:ascii="Arial" w:hAnsi="Arial" w:cs="Arial"/>
          <w:sz w:val="20"/>
          <w:szCs w:val="20"/>
        </w:rPr>
        <w:t xml:space="preserve"> Organizational transformations </w:t>
      </w:r>
      <w:r w:rsidR="00262AF7" w:rsidRPr="000F2823">
        <w:rPr>
          <w:rStyle w:val="normaltextrun"/>
          <w:rFonts w:ascii="Arial" w:hAnsi="Arial" w:cs="Arial"/>
          <w:sz w:val="20"/>
          <w:szCs w:val="20"/>
        </w:rPr>
        <w:t xml:space="preserve">will </w:t>
      </w:r>
      <w:r w:rsidRPr="000F2823">
        <w:rPr>
          <w:rStyle w:val="normaltextrun"/>
          <w:rFonts w:ascii="Arial" w:hAnsi="Arial" w:cs="Arial"/>
          <w:sz w:val="20"/>
          <w:szCs w:val="20"/>
        </w:rPr>
        <w:t>produce purpose-driven organizations with a strong fiduciary culture, recognizing the need for more balance.</w:t>
      </w:r>
    </w:p>
    <w:p w14:paraId="16CCEAFC" w14:textId="77777777" w:rsidR="006E3751" w:rsidRDefault="006E3751" w:rsidP="006E3751">
      <w:pPr>
        <w:pStyle w:val="ListParagraph"/>
        <w:ind w:left="2160"/>
        <w:rPr>
          <w:rStyle w:val="normaltextrun"/>
        </w:rPr>
      </w:pPr>
    </w:p>
    <w:p w14:paraId="25352F63" w14:textId="77777777" w:rsidR="006E3751" w:rsidRPr="005C0480" w:rsidRDefault="006E3751" w:rsidP="006E3751">
      <w:pPr>
        <w:pStyle w:val="ListParagraph"/>
        <w:numPr>
          <w:ilvl w:val="0"/>
          <w:numId w:val="2"/>
        </w:numPr>
        <w:rPr>
          <w:rFonts w:ascii="Arial" w:hAnsi="Arial" w:cs="Arial"/>
          <w:sz w:val="20"/>
          <w:szCs w:val="20"/>
        </w:rPr>
      </w:pPr>
      <w:r w:rsidRPr="005C0480">
        <w:rPr>
          <w:rFonts w:ascii="Arial" w:hAnsi="Arial" w:cs="Arial"/>
          <w:sz w:val="20"/>
          <w:szCs w:val="20"/>
        </w:rPr>
        <w:t>As the largest global association of investment professionals, CFA Institute has committed to the development of sustainable investing in the following ways:</w:t>
      </w:r>
      <w:r>
        <w:rPr>
          <w:rFonts w:ascii="Arial" w:hAnsi="Arial" w:cs="Arial"/>
          <w:sz w:val="20"/>
          <w:szCs w:val="20"/>
        </w:rPr>
        <w:br/>
      </w:r>
    </w:p>
    <w:p w14:paraId="0467A62F" w14:textId="77777777" w:rsidR="006E3751" w:rsidRDefault="006E3751" w:rsidP="006E3751">
      <w:pPr>
        <w:pStyle w:val="ListParagraph"/>
        <w:numPr>
          <w:ilvl w:val="1"/>
          <w:numId w:val="2"/>
        </w:numPr>
        <w:rPr>
          <w:rFonts w:ascii="Arial" w:hAnsi="Arial" w:cs="Arial"/>
          <w:sz w:val="20"/>
          <w:szCs w:val="20"/>
        </w:rPr>
      </w:pPr>
      <w:r w:rsidRPr="005C0480">
        <w:rPr>
          <w:rFonts w:ascii="Arial" w:hAnsi="Arial" w:cs="Arial"/>
          <w:b/>
          <w:bCs/>
          <w:sz w:val="20"/>
          <w:szCs w:val="20"/>
        </w:rPr>
        <w:t>Educating investment professionals</w:t>
      </w:r>
      <w:r w:rsidRPr="005C0480">
        <w:rPr>
          <w:rFonts w:ascii="Arial" w:hAnsi="Arial" w:cs="Arial"/>
          <w:sz w:val="20"/>
          <w:szCs w:val="20"/>
        </w:rPr>
        <w:t xml:space="preserve"> via a specialist certificate, professional development, practitioner-focused research, and the CFA Program curriculum. </w:t>
      </w:r>
    </w:p>
    <w:p w14:paraId="175F1BEA" w14:textId="77777777" w:rsidR="006E3751" w:rsidRDefault="006E3751" w:rsidP="006E3751">
      <w:pPr>
        <w:pStyle w:val="ListParagraph"/>
        <w:numPr>
          <w:ilvl w:val="2"/>
          <w:numId w:val="2"/>
        </w:numPr>
        <w:rPr>
          <w:rFonts w:ascii="Arial" w:hAnsi="Arial" w:cs="Arial"/>
          <w:sz w:val="20"/>
          <w:szCs w:val="20"/>
        </w:rPr>
      </w:pPr>
      <w:r w:rsidRPr="005C0480">
        <w:rPr>
          <w:rFonts w:ascii="Arial" w:hAnsi="Arial" w:cs="Arial"/>
          <w:sz w:val="20"/>
          <w:szCs w:val="20"/>
        </w:rPr>
        <w:t>In the next edition of the curriculum, ESG content will increase by 130%, with 23 readings in seven topic areas. This is equivalent to ESG coverage in 16% of readings, and ESG coverage will likely reach 20% or more as ESG standards develop and practice advances.</w:t>
      </w:r>
      <w:r>
        <w:rPr>
          <w:rFonts w:ascii="Arial" w:hAnsi="Arial" w:cs="Arial"/>
          <w:sz w:val="20"/>
          <w:szCs w:val="20"/>
        </w:rPr>
        <w:t xml:space="preserve"> </w:t>
      </w:r>
    </w:p>
    <w:p w14:paraId="36BE9462" w14:textId="77777777" w:rsidR="006E3751" w:rsidRDefault="006E3751" w:rsidP="006E3751">
      <w:pPr>
        <w:pStyle w:val="ListParagraph"/>
        <w:numPr>
          <w:ilvl w:val="2"/>
          <w:numId w:val="2"/>
        </w:numPr>
        <w:rPr>
          <w:rFonts w:ascii="Arial" w:hAnsi="Arial" w:cs="Arial"/>
          <w:sz w:val="20"/>
          <w:szCs w:val="20"/>
        </w:rPr>
      </w:pPr>
      <w:r>
        <w:rPr>
          <w:rFonts w:ascii="Arial" w:hAnsi="Arial" w:cs="Arial"/>
          <w:sz w:val="20"/>
          <w:szCs w:val="20"/>
        </w:rPr>
        <w:t>In addition, t</w:t>
      </w:r>
      <w:r w:rsidRPr="00D9336F">
        <w:rPr>
          <w:rFonts w:ascii="Arial" w:hAnsi="Arial" w:cs="Arial"/>
          <w:sz w:val="20"/>
          <w:szCs w:val="20"/>
        </w:rPr>
        <w:t>he CFA Institute Research Challenge added ESG analysis as an evaluation component in the 2021 competition year</w:t>
      </w:r>
      <w:r>
        <w:rPr>
          <w:rFonts w:ascii="Arial" w:hAnsi="Arial" w:cs="Arial"/>
          <w:sz w:val="20"/>
          <w:szCs w:val="20"/>
        </w:rPr>
        <w:t>, showing those just beginning their investment studies that these factors are part of any thorough analysis</w:t>
      </w:r>
      <w:r w:rsidRPr="00D9336F">
        <w:rPr>
          <w:rFonts w:ascii="Arial" w:hAnsi="Arial" w:cs="Arial"/>
          <w:sz w:val="20"/>
          <w:szCs w:val="20"/>
        </w:rPr>
        <w:t>.</w:t>
      </w:r>
    </w:p>
    <w:p w14:paraId="484F4C2B" w14:textId="77777777" w:rsidR="006E3751" w:rsidRDefault="006E3751" w:rsidP="006E3751">
      <w:pPr>
        <w:pStyle w:val="ListParagraph"/>
        <w:ind w:left="1440"/>
        <w:rPr>
          <w:rFonts w:ascii="Arial" w:hAnsi="Arial" w:cs="Arial"/>
          <w:sz w:val="20"/>
          <w:szCs w:val="20"/>
        </w:rPr>
      </w:pPr>
    </w:p>
    <w:p w14:paraId="2529DBEC" w14:textId="77777777" w:rsidR="006E3751" w:rsidRDefault="006E3751" w:rsidP="006E3751">
      <w:pPr>
        <w:pStyle w:val="ListParagraph"/>
        <w:numPr>
          <w:ilvl w:val="1"/>
          <w:numId w:val="2"/>
        </w:numPr>
        <w:rPr>
          <w:rFonts w:ascii="Arial" w:hAnsi="Arial" w:cs="Arial"/>
          <w:sz w:val="20"/>
          <w:szCs w:val="20"/>
        </w:rPr>
      </w:pPr>
      <w:r w:rsidRPr="00576DA0">
        <w:rPr>
          <w:rFonts w:ascii="Arial" w:hAnsi="Arial" w:cs="Arial"/>
          <w:b/>
          <w:bCs/>
          <w:sz w:val="20"/>
          <w:szCs w:val="20"/>
        </w:rPr>
        <w:t xml:space="preserve">Publishing research </w:t>
      </w:r>
      <w:r>
        <w:rPr>
          <w:rFonts w:ascii="Arial" w:hAnsi="Arial" w:cs="Arial"/>
          <w:sz w:val="20"/>
          <w:szCs w:val="20"/>
        </w:rPr>
        <w:t>for ongoing education. Sustainability is an area that is dynamic, and continuous learning is essential. The growth of new data sources further drives the need to keep learning. In addition to this study, we have done a series of case studies on climate risk analysis, extensive work with PRI, and a literature review showing how ESG has developed over the years.</w:t>
      </w:r>
    </w:p>
    <w:p w14:paraId="51E6BF74" w14:textId="77777777" w:rsidR="006E3751" w:rsidRPr="005C0480" w:rsidRDefault="006E3751" w:rsidP="006E3751">
      <w:pPr>
        <w:pStyle w:val="ListParagraph"/>
        <w:ind w:left="1440"/>
        <w:rPr>
          <w:rFonts w:ascii="Arial" w:hAnsi="Arial" w:cs="Arial"/>
          <w:sz w:val="20"/>
          <w:szCs w:val="20"/>
        </w:rPr>
      </w:pPr>
    </w:p>
    <w:p w14:paraId="1C4BB35D" w14:textId="77777777" w:rsidR="006E3751" w:rsidRPr="00677179" w:rsidRDefault="006E3751" w:rsidP="006E3751">
      <w:pPr>
        <w:pStyle w:val="ListParagraph"/>
        <w:numPr>
          <w:ilvl w:val="1"/>
          <w:numId w:val="2"/>
        </w:numPr>
        <w:rPr>
          <w:rFonts w:ascii="Arial" w:hAnsi="Arial" w:cs="Arial"/>
          <w:sz w:val="20"/>
          <w:szCs w:val="20"/>
        </w:rPr>
      </w:pPr>
      <w:r w:rsidRPr="005C0480">
        <w:rPr>
          <w:rFonts w:ascii="Arial" w:hAnsi="Arial" w:cs="Arial"/>
          <w:b/>
          <w:bCs/>
          <w:sz w:val="20"/>
          <w:szCs w:val="20"/>
        </w:rPr>
        <w:t>Creating standards</w:t>
      </w:r>
      <w:r w:rsidRPr="005C0480">
        <w:rPr>
          <w:rFonts w:ascii="Arial" w:hAnsi="Arial" w:cs="Arial"/>
          <w:sz w:val="20"/>
          <w:szCs w:val="20"/>
        </w:rPr>
        <w:t xml:space="preserve"> to improve product transparency and comparability in investor reporting, with the CFA Institute ESG Disclosure Standards for Investment Products expected in late 2021.</w:t>
      </w:r>
    </w:p>
    <w:p w14:paraId="1F2CB1AE" w14:textId="77777777" w:rsidR="006E3751" w:rsidRPr="00677179" w:rsidRDefault="006E3751" w:rsidP="006E3751">
      <w:pPr>
        <w:pStyle w:val="ListParagraph"/>
        <w:ind w:left="1440"/>
        <w:rPr>
          <w:rFonts w:ascii="Arial" w:hAnsi="Arial" w:cs="Arial"/>
          <w:sz w:val="20"/>
          <w:szCs w:val="20"/>
        </w:rPr>
      </w:pPr>
    </w:p>
    <w:p w14:paraId="10A93136" w14:textId="77777777" w:rsidR="006E3751" w:rsidRPr="00576DA0" w:rsidRDefault="006E3751" w:rsidP="006E3751">
      <w:pPr>
        <w:pStyle w:val="ListParagraph"/>
        <w:numPr>
          <w:ilvl w:val="1"/>
          <w:numId w:val="2"/>
        </w:numPr>
        <w:rPr>
          <w:rFonts w:ascii="Arial" w:hAnsi="Arial" w:cs="Arial"/>
          <w:sz w:val="20"/>
          <w:szCs w:val="20"/>
        </w:rPr>
      </w:pPr>
      <w:r>
        <w:rPr>
          <w:rFonts w:ascii="Arial" w:hAnsi="Arial" w:cs="Arial"/>
          <w:b/>
          <w:bCs/>
          <w:sz w:val="20"/>
          <w:szCs w:val="20"/>
        </w:rPr>
        <w:t xml:space="preserve">Collaboration </w:t>
      </w:r>
      <w:r w:rsidRPr="00576DA0">
        <w:rPr>
          <w:rFonts w:ascii="Arial" w:hAnsi="Arial" w:cs="Arial"/>
          <w:sz w:val="20"/>
          <w:szCs w:val="20"/>
        </w:rPr>
        <w:t>is essential on this topic, and we are engaged with many organizations to</w:t>
      </w:r>
      <w:r w:rsidRPr="005C0480">
        <w:rPr>
          <w:rFonts w:ascii="Arial" w:hAnsi="Arial" w:cs="Arial"/>
          <w:sz w:val="20"/>
          <w:szCs w:val="20"/>
        </w:rPr>
        <w:t xml:space="preserve"> provid</w:t>
      </w:r>
      <w:r>
        <w:rPr>
          <w:rFonts w:ascii="Arial" w:hAnsi="Arial" w:cs="Arial"/>
          <w:sz w:val="20"/>
          <w:szCs w:val="20"/>
        </w:rPr>
        <w:t>e</w:t>
      </w:r>
      <w:r w:rsidRPr="005C0480">
        <w:rPr>
          <w:rFonts w:ascii="Arial" w:hAnsi="Arial" w:cs="Arial"/>
          <w:sz w:val="20"/>
          <w:szCs w:val="20"/>
        </w:rPr>
        <w:t xml:space="preserve"> the investor view on advisory committees and working with accounting standard setters to look for harmonization opportunities. </w:t>
      </w:r>
    </w:p>
    <w:p w14:paraId="7712A0BE" w14:textId="77777777" w:rsidR="006E3751" w:rsidRPr="00677179" w:rsidRDefault="006E3751" w:rsidP="006E3751">
      <w:pPr>
        <w:pStyle w:val="ListParagraph"/>
        <w:rPr>
          <w:rStyle w:val="normaltextrun"/>
        </w:rPr>
      </w:pPr>
      <w:bookmarkStart w:id="0" w:name="_GoBack"/>
      <w:bookmarkEnd w:id="0"/>
    </w:p>
    <w:p w14:paraId="1B27633B" w14:textId="18EDCB93" w:rsidR="00CF77C7" w:rsidRPr="006E3751" w:rsidRDefault="00677179" w:rsidP="006E3751">
      <w:pPr>
        <w:pStyle w:val="ListParagraph"/>
        <w:numPr>
          <w:ilvl w:val="0"/>
          <w:numId w:val="6"/>
        </w:numPr>
        <w:rPr>
          <w:rFonts w:ascii="Arial" w:hAnsi="Arial" w:cs="Arial"/>
        </w:rPr>
      </w:pPr>
      <w:r w:rsidRPr="006E3751">
        <w:rPr>
          <w:rFonts w:ascii="Arial" w:hAnsi="Arial" w:cs="Arial"/>
          <w:sz w:val="20"/>
          <w:szCs w:val="20"/>
        </w:rPr>
        <w:t>Within sustainable investing lie the fundamental elements of the sustainability of investing. Investors and the investment industry have a considerable role to play in determining the pathway and shaping a future worth investing in.</w:t>
      </w:r>
    </w:p>
    <w:sectPr w:rsidR="00CF77C7" w:rsidRPr="006E3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864B6"/>
    <w:multiLevelType w:val="hybridMultilevel"/>
    <w:tmpl w:val="F278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E42D4"/>
    <w:multiLevelType w:val="hybridMultilevel"/>
    <w:tmpl w:val="E6B4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739A8"/>
    <w:multiLevelType w:val="hybridMultilevel"/>
    <w:tmpl w:val="317497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30F4C"/>
    <w:multiLevelType w:val="hybridMultilevel"/>
    <w:tmpl w:val="29E2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33D66"/>
    <w:multiLevelType w:val="hybridMultilevel"/>
    <w:tmpl w:val="8554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3026F"/>
    <w:multiLevelType w:val="hybridMultilevel"/>
    <w:tmpl w:val="7004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C7"/>
    <w:rsid w:val="000F2823"/>
    <w:rsid w:val="001D1DEA"/>
    <w:rsid w:val="00235FBC"/>
    <w:rsid w:val="0026292D"/>
    <w:rsid w:val="00262AF7"/>
    <w:rsid w:val="00303B52"/>
    <w:rsid w:val="00315C02"/>
    <w:rsid w:val="003228AD"/>
    <w:rsid w:val="003C5998"/>
    <w:rsid w:val="004331F0"/>
    <w:rsid w:val="00456C94"/>
    <w:rsid w:val="00520D60"/>
    <w:rsid w:val="00576DA0"/>
    <w:rsid w:val="005B42D1"/>
    <w:rsid w:val="005B50F0"/>
    <w:rsid w:val="005C0480"/>
    <w:rsid w:val="005F795E"/>
    <w:rsid w:val="00665C29"/>
    <w:rsid w:val="00677179"/>
    <w:rsid w:val="006A33A1"/>
    <w:rsid w:val="006E161C"/>
    <w:rsid w:val="006E3751"/>
    <w:rsid w:val="008032B2"/>
    <w:rsid w:val="008442C9"/>
    <w:rsid w:val="009B6E0F"/>
    <w:rsid w:val="009E4D81"/>
    <w:rsid w:val="00A55793"/>
    <w:rsid w:val="00AE71E7"/>
    <w:rsid w:val="00B44D24"/>
    <w:rsid w:val="00BC36F8"/>
    <w:rsid w:val="00C4242C"/>
    <w:rsid w:val="00C43F23"/>
    <w:rsid w:val="00C61755"/>
    <w:rsid w:val="00C67708"/>
    <w:rsid w:val="00CF77C7"/>
    <w:rsid w:val="00D35DA5"/>
    <w:rsid w:val="00D5270A"/>
    <w:rsid w:val="00D9336F"/>
    <w:rsid w:val="00DA38FD"/>
    <w:rsid w:val="00E47D1B"/>
    <w:rsid w:val="00E6069B"/>
    <w:rsid w:val="00F53042"/>
    <w:rsid w:val="00FB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D64A"/>
  <w15:chartTrackingRefBased/>
  <w15:docId w15:val="{A534EE94-F964-46F7-828C-5F79E057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C7"/>
    <w:pPr>
      <w:ind w:left="720"/>
      <w:contextualSpacing/>
    </w:pPr>
  </w:style>
  <w:style w:type="character" w:customStyle="1" w:styleId="normaltextrun">
    <w:name w:val="normaltextrun"/>
    <w:basedOn w:val="DefaultParagraphFont"/>
    <w:rsid w:val="00C61755"/>
  </w:style>
  <w:style w:type="character" w:styleId="CommentReference">
    <w:name w:val="annotation reference"/>
    <w:basedOn w:val="DefaultParagraphFont"/>
    <w:uiPriority w:val="99"/>
    <w:semiHidden/>
    <w:unhideWhenUsed/>
    <w:rsid w:val="00AE71E7"/>
    <w:rPr>
      <w:sz w:val="16"/>
      <w:szCs w:val="16"/>
    </w:rPr>
  </w:style>
  <w:style w:type="paragraph" w:styleId="CommentText">
    <w:name w:val="annotation text"/>
    <w:basedOn w:val="Normal"/>
    <w:link w:val="CommentTextChar"/>
    <w:uiPriority w:val="99"/>
    <w:semiHidden/>
    <w:unhideWhenUsed/>
    <w:rsid w:val="00AE71E7"/>
    <w:pPr>
      <w:spacing w:line="240" w:lineRule="auto"/>
    </w:pPr>
    <w:rPr>
      <w:sz w:val="20"/>
      <w:szCs w:val="20"/>
    </w:rPr>
  </w:style>
  <w:style w:type="character" w:customStyle="1" w:styleId="CommentTextChar">
    <w:name w:val="Comment Text Char"/>
    <w:basedOn w:val="DefaultParagraphFont"/>
    <w:link w:val="CommentText"/>
    <w:uiPriority w:val="99"/>
    <w:semiHidden/>
    <w:rsid w:val="00AE71E7"/>
    <w:rPr>
      <w:sz w:val="20"/>
      <w:szCs w:val="20"/>
    </w:rPr>
  </w:style>
  <w:style w:type="paragraph" w:styleId="CommentSubject">
    <w:name w:val="annotation subject"/>
    <w:basedOn w:val="CommentText"/>
    <w:next w:val="CommentText"/>
    <w:link w:val="CommentSubjectChar"/>
    <w:uiPriority w:val="99"/>
    <w:semiHidden/>
    <w:unhideWhenUsed/>
    <w:rsid w:val="00AE71E7"/>
    <w:rPr>
      <w:b/>
      <w:bCs/>
    </w:rPr>
  </w:style>
  <w:style w:type="character" w:customStyle="1" w:styleId="CommentSubjectChar">
    <w:name w:val="Comment Subject Char"/>
    <w:basedOn w:val="CommentTextChar"/>
    <w:link w:val="CommentSubject"/>
    <w:uiPriority w:val="99"/>
    <w:semiHidden/>
    <w:rsid w:val="00AE71E7"/>
    <w:rPr>
      <w:b/>
      <w:bCs/>
      <w:sz w:val="20"/>
      <w:szCs w:val="20"/>
    </w:rPr>
  </w:style>
  <w:style w:type="paragraph" w:styleId="BalloonText">
    <w:name w:val="Balloon Text"/>
    <w:basedOn w:val="Normal"/>
    <w:link w:val="BalloonTextChar"/>
    <w:uiPriority w:val="99"/>
    <w:semiHidden/>
    <w:unhideWhenUsed/>
    <w:rsid w:val="00AE7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1E7"/>
    <w:rPr>
      <w:rFonts w:ascii="Segoe UI" w:hAnsi="Segoe UI" w:cs="Segoe UI"/>
      <w:sz w:val="18"/>
      <w:szCs w:val="18"/>
    </w:rPr>
  </w:style>
  <w:style w:type="paragraph" w:styleId="Revision">
    <w:name w:val="Revision"/>
    <w:hidden/>
    <w:uiPriority w:val="99"/>
    <w:semiHidden/>
    <w:rsid w:val="00520D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FA Document" ma:contentTypeID="0x01010088D1BAAAD992E14F86D4B33062DD2B000038F83A5BC2F9E54C8C829D7BAB316B30" ma:contentTypeVersion="14" ma:contentTypeDescription="Create a new document." ma:contentTypeScope="" ma:versionID="6728af17e12f125decb85b4854980114">
  <xsd:schema xmlns:xsd="http://www.w3.org/2001/XMLSchema" xmlns:xs="http://www.w3.org/2001/XMLSchema" xmlns:p="http://schemas.microsoft.com/office/2006/metadata/properties" xmlns:ns2="d6c49b32-e5bf-402a-b029-a4f4396601ee" xmlns:ns3="8ad9695f-e2e8-4248-9a68-66c39c68ae3d" xmlns:ns5="616314fb-d3f3-4ffd-b626-254addc556f0" targetNamespace="http://schemas.microsoft.com/office/2006/metadata/properties" ma:root="true" ma:fieldsID="bb64ffe20b092132ef9148ab005c1970" ns2:_="" ns3:_="" ns5:_="">
    <xsd:import namespace="d6c49b32-e5bf-402a-b029-a4f4396601ee"/>
    <xsd:import namespace="8ad9695f-e2e8-4248-9a68-66c39c68ae3d"/>
    <xsd:import namespace="616314fb-d3f3-4ffd-b626-254addc556f0"/>
    <xsd:element name="properties">
      <xsd:complexType>
        <xsd:sequence>
          <xsd:element name="documentManagement">
            <xsd:complexType>
              <xsd:all>
                <xsd:element ref="ns2:g0aabec930bb45a380e3256110f6c163" minOccurs="0"/>
                <xsd:element ref="ns3:TaxCatchAll" minOccurs="0"/>
                <xsd:element ref="ns3:TaxCatchAllLabel" minOccurs="0"/>
                <xsd:element ref="ns2:n339a4e264194551a2a0af7e95a95133" minOccurs="0"/>
                <xsd:element ref="ns2:keba0c8e5e104dae9bcdea6715aaee93" minOccurs="0"/>
                <xsd:element ref="ns5:MediaServiceOCR"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49b32-e5bf-402a-b029-a4f4396601ee" elementFormDefault="qualified">
    <xsd:import namespace="http://schemas.microsoft.com/office/2006/documentManagement/types"/>
    <xsd:import namespace="http://schemas.microsoft.com/office/infopath/2007/PartnerControls"/>
    <xsd:element name="g0aabec930bb45a380e3256110f6c163" ma:index="8" nillable="true" ma:taxonomy="true" ma:internalName="g0aabec930bb45a380e3256110f6c163" ma:taxonomyFieldName="CFARegion" ma:displayName="Region" ma:default="" ma:fieldId="{00aabec9-30bb-45a3-80e3-256110f6c163}" ma:sspId="7571d408-0d8c-48a4-adcf-444c1a3db999" ma:termSetId="2391f6e1-ecba-4a86-84bf-550004ff86e6" ma:anchorId="00000000-0000-0000-0000-000000000000" ma:open="false" ma:isKeyword="false">
      <xsd:complexType>
        <xsd:sequence>
          <xsd:element ref="pc:Terms" minOccurs="0" maxOccurs="1"/>
        </xsd:sequence>
      </xsd:complexType>
    </xsd:element>
    <xsd:element name="n339a4e264194551a2a0af7e95a95133" ma:index="12" nillable="true" ma:taxonomy="true" ma:internalName="n339a4e264194551a2a0af7e95a95133" ma:taxonomyFieldName="CFADivision" ma:displayName="Division" ma:default="" ma:fieldId="{7339a4e2-6419-4551-a2a0-af7e95a95133}" ma:sspId="7571d408-0d8c-48a4-adcf-444c1a3db999" ma:termSetId="69672a56-3e3b-493d-a62a-c2a8b27b97f1" ma:anchorId="00000000-0000-0000-0000-000000000000" ma:open="false" ma:isKeyword="false">
      <xsd:complexType>
        <xsd:sequence>
          <xsd:element ref="pc:Terms" minOccurs="0" maxOccurs="1"/>
        </xsd:sequence>
      </xsd:complexType>
    </xsd:element>
    <xsd:element name="keba0c8e5e104dae9bcdea6715aaee93" ma:index="14" nillable="true" ma:taxonomy="true" ma:internalName="keba0c8e5e104dae9bcdea6715aaee93" ma:taxonomyFieldName="CFADocumentType" ma:displayName="Document Type" ma:default="3;#General|2ae2a61a-ac19-4af8-b1de-db00fd570a45" ma:fieldId="{4eba0c8e-5e10-4dae-9bcd-ea6715aaee93}" ma:sspId="7571d408-0d8c-48a4-adcf-444c1a3db999" ma:termSetId="9dbdb312-732b-4fa8-bf5c-37a3f3f797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d9695f-e2e8-4248-9a68-66c39c68ae3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5293ed8-8758-4e72-9afd-6f801bec1db7}" ma:internalName="TaxCatchAll" ma:showField="CatchAllData" ma:web="7b444600-487b-407a-9f82-ae3530453ec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293ed8-8758-4e72-9afd-6f801bec1db7}" ma:internalName="TaxCatchAllLabel" ma:readOnly="true" ma:showField="CatchAllDataLabel" ma:web="7b444600-487b-407a-9f82-ae3530453e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314fb-d3f3-4ffd-b626-254addc556f0" elementFormDefault="qualified">
    <xsd:import namespace="http://schemas.microsoft.com/office/2006/documentManagement/types"/>
    <xsd:import namespace="http://schemas.microsoft.com/office/infopath/2007/PartnerControls"/>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d9695f-e2e8-4248-9a68-66c39c68ae3d">
      <Value>3</Value>
    </TaxCatchAll>
    <keba0c8e5e104dae9bcdea6715aaee93 xmlns="d6c49b32-e5bf-402a-b029-a4f4396601ee">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2ae2a61a-ac19-4af8-b1de-db00fd570a45</TermId>
        </TermInfo>
      </Terms>
    </keba0c8e5e104dae9bcdea6715aaee93>
    <n339a4e264194551a2a0af7e95a95133 xmlns="d6c49b32-e5bf-402a-b029-a4f4396601ee">
      <Terms xmlns="http://schemas.microsoft.com/office/infopath/2007/PartnerControls"/>
    </n339a4e264194551a2a0af7e95a95133>
    <g0aabec930bb45a380e3256110f6c163 xmlns="d6c49b32-e5bf-402a-b029-a4f4396601ee">
      <Terms xmlns="http://schemas.microsoft.com/office/infopath/2007/PartnerControls"/>
    </g0aabec930bb45a380e3256110f6c163>
  </documentManagement>
</p:properties>
</file>

<file path=customXml/itemProps1.xml><?xml version="1.0" encoding="utf-8"?>
<ds:datastoreItem xmlns:ds="http://schemas.openxmlformats.org/officeDocument/2006/customXml" ds:itemID="{8CB99158-870C-4F40-BCA5-A7875640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49b32-e5bf-402a-b029-a4f4396601ee"/>
    <ds:schemaRef ds:uri="8ad9695f-e2e8-4248-9a68-66c39c68ae3d"/>
    <ds:schemaRef ds:uri="616314fb-d3f3-4ffd-b626-254addc55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106ED-0D35-4EEC-8F34-0125826EE418}">
  <ds:schemaRefs>
    <ds:schemaRef ds:uri="http://schemas.microsoft.com/sharepoint/v3/contenttype/forms"/>
  </ds:schemaRefs>
</ds:datastoreItem>
</file>

<file path=customXml/itemProps3.xml><?xml version="1.0" encoding="utf-8"?>
<ds:datastoreItem xmlns:ds="http://schemas.openxmlformats.org/officeDocument/2006/customXml" ds:itemID="{AC6DDFDC-579B-40FB-BEAD-23F3726E5FF7}">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616314fb-d3f3-4ffd-b626-254addc556f0"/>
    <ds:schemaRef ds:uri="8ad9695f-e2e8-4248-9a68-66c39c68ae3d"/>
    <ds:schemaRef ds:uri="d6c49b32-e5bf-402a-b029-a4f4396601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1648</Words>
  <Characters>9395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Hall</dc:creator>
  <cp:keywords/>
  <dc:description/>
  <cp:lastModifiedBy>Rebecca Fender</cp:lastModifiedBy>
  <cp:revision>2</cp:revision>
  <cp:lastPrinted>2020-11-30T19:26:00Z</cp:lastPrinted>
  <dcterms:created xsi:type="dcterms:W3CDTF">2020-12-02T22:44:00Z</dcterms:created>
  <dcterms:modified xsi:type="dcterms:W3CDTF">2020-12-02T22:44:00Z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0x01010088D1BAAAD992E14F86D4B33062DD2B000038F83A5BC2F9E54C8C829D7BAB316B30</vt:lpwstr>
  </property>
  <property fmtid="{D5CDD505-2E9C-101B-9397-08002B2CF9AE}" pid="3" name="CFADivision">
    <vt:lpwstr/>
  </property>
  <property fmtid="{D5CDD505-2E9C-101B-9397-08002B2CF9AE}" pid="4" name="CFADocumentType">
    <vt:lpwstr>3;#General|2ae2a61a-ac19-4af8-b1de-db00fd570a45</vt:lpwstr>
  </property>
  <property fmtid="{D5CDD505-2E9C-101B-9397-08002B2CF9AE}" pid="5" name="CFARegion">
    <vt:lpwstr/>
  </property>
  <property fmtid="{D5CDD505-2E9C-101B-9397-08002B2CF9AE}" pid="6" name="SharedWithUsers">
    <vt:lpwstr>15;#Rebecca Fender</vt:lpwstr>
  </property>
</Properties>
</file>